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6D2FE" w14:textId="77777777" w:rsidR="00A25172" w:rsidRPr="002331F6" w:rsidRDefault="00A25172" w:rsidP="00A25172">
      <w:pPr>
        <w:spacing w:after="160" w:line="240" w:lineRule="auto"/>
        <w:ind w:left="100" w:right="-20"/>
        <w:jc w:val="center"/>
        <w:rPr>
          <w:rFonts w:cs="Arial"/>
          <w:b/>
          <w:bCs/>
          <w:color w:val="00B050"/>
          <w:spacing w:val="-1"/>
          <w:sz w:val="32"/>
          <w:szCs w:val="32"/>
        </w:rPr>
      </w:pPr>
      <w:r w:rsidRPr="002331F6">
        <w:rPr>
          <w:rFonts w:cs="Arial"/>
          <w:b/>
          <w:bCs/>
          <w:color w:val="00B050"/>
          <w:spacing w:val="-1"/>
          <w:sz w:val="32"/>
          <w:szCs w:val="32"/>
        </w:rPr>
        <w:t>QUENINGTON PARISH COUNCIL</w:t>
      </w:r>
    </w:p>
    <w:p w14:paraId="46211593" w14:textId="3F5A52A3" w:rsidR="00A25172" w:rsidRDefault="00982112" w:rsidP="00A25172">
      <w:pPr>
        <w:spacing w:after="160" w:line="240" w:lineRule="auto"/>
        <w:ind w:left="100" w:right="-20"/>
        <w:jc w:val="center"/>
        <w:rPr>
          <w:rFonts w:cs="Arial"/>
          <w:b/>
          <w:bCs/>
          <w:spacing w:val="-1"/>
          <w:sz w:val="32"/>
          <w:szCs w:val="32"/>
        </w:rPr>
      </w:pPr>
      <w:r w:rsidRPr="002331F6">
        <w:rPr>
          <w:rFonts w:cs="Arial"/>
          <w:b/>
          <w:bCs/>
          <w:spacing w:val="-1"/>
          <w:sz w:val="32"/>
          <w:szCs w:val="32"/>
        </w:rPr>
        <w:t>Risk Management Policy</w:t>
      </w:r>
    </w:p>
    <w:p w14:paraId="6AD1CDD4" w14:textId="3A6E453A" w:rsidR="002331F6" w:rsidRPr="00C31B9A" w:rsidRDefault="001052E2" w:rsidP="004E4997">
      <w:pPr>
        <w:spacing w:after="160" w:line="240" w:lineRule="auto"/>
        <w:ind w:right="-20"/>
        <w:rPr>
          <w:rFonts w:eastAsia="Arial" w:cs="Arial"/>
          <w:b/>
          <w:bCs/>
          <w:color w:val="000000" w:themeColor="text1"/>
          <w:sz w:val="28"/>
          <w:szCs w:val="28"/>
        </w:rPr>
      </w:pPr>
      <w:r w:rsidRPr="00C31B9A">
        <w:rPr>
          <w:rFonts w:eastAsia="Arial" w:cs="Arial"/>
          <w:b/>
          <w:bCs/>
          <w:color w:val="000000" w:themeColor="text1"/>
          <w:sz w:val="28"/>
          <w:szCs w:val="28"/>
        </w:rPr>
        <w:t>Introduction and Purpose</w:t>
      </w:r>
    </w:p>
    <w:p w14:paraId="229712C1" w14:textId="6FEE9EF0" w:rsidR="00664500" w:rsidRPr="003879A9" w:rsidRDefault="00664500" w:rsidP="00664500">
      <w:pPr>
        <w:spacing w:before="60" w:after="100"/>
        <w:jc w:val="both"/>
        <w:rPr>
          <w:sz w:val="24"/>
          <w:szCs w:val="24"/>
        </w:rPr>
      </w:pPr>
      <w:r w:rsidRPr="003879A9">
        <w:rPr>
          <w:rFonts w:eastAsia="Arial" w:cs="Arial"/>
          <w:sz w:val="24"/>
          <w:szCs w:val="24"/>
        </w:rPr>
        <w:t>This</w:t>
      </w:r>
      <w:r w:rsidR="004E4997" w:rsidRPr="003879A9">
        <w:rPr>
          <w:rFonts w:eastAsia="Arial" w:cs="Arial"/>
          <w:sz w:val="24"/>
          <w:szCs w:val="24"/>
        </w:rPr>
        <w:t xml:space="preserve"> </w:t>
      </w:r>
      <w:r w:rsidRPr="003879A9">
        <w:rPr>
          <w:rFonts w:eastAsia="Arial" w:cs="Arial"/>
          <w:sz w:val="24"/>
          <w:szCs w:val="24"/>
        </w:rPr>
        <w:t>Risk Management Policy sets out the approach of the Parish Council to identifying, assessing, and managing risks across its activities and responsibilities. The Council is committed to sound governance and the protection of public funds, assets, employees, volunteers, and the communities it serves.</w:t>
      </w:r>
    </w:p>
    <w:p w14:paraId="18B74D2F" w14:textId="77777777" w:rsidR="00664500" w:rsidRPr="003879A9" w:rsidRDefault="00664500" w:rsidP="00664500">
      <w:pPr>
        <w:spacing w:before="60" w:after="100"/>
        <w:jc w:val="both"/>
        <w:rPr>
          <w:sz w:val="24"/>
          <w:szCs w:val="24"/>
        </w:rPr>
      </w:pPr>
      <w:r w:rsidRPr="003879A9">
        <w:rPr>
          <w:rFonts w:eastAsia="Arial" w:cs="Arial"/>
          <w:sz w:val="24"/>
          <w:szCs w:val="24"/>
        </w:rPr>
        <w:t>The purpose of this policy is to:</w:t>
      </w:r>
    </w:p>
    <w:p w14:paraId="4B18BA19" w14:textId="77777777" w:rsidR="00664500" w:rsidRPr="003879A9" w:rsidRDefault="00664500" w:rsidP="00664500">
      <w:pPr>
        <w:pStyle w:val="ListParagraph"/>
        <w:numPr>
          <w:ilvl w:val="0"/>
          <w:numId w:val="1"/>
        </w:numPr>
        <w:spacing w:before="40" w:after="40" w:line="240" w:lineRule="auto"/>
        <w:contextualSpacing w:val="0"/>
        <w:rPr>
          <w:sz w:val="24"/>
          <w:szCs w:val="24"/>
        </w:rPr>
      </w:pPr>
      <w:r w:rsidRPr="003879A9">
        <w:rPr>
          <w:rFonts w:eastAsia="Arial" w:cs="Arial"/>
          <w:sz w:val="24"/>
          <w:szCs w:val="24"/>
        </w:rPr>
        <w:t xml:space="preserve">Provide a structured framework for the identification and management of </w:t>
      </w:r>
      <w:proofErr w:type="gramStart"/>
      <w:r w:rsidRPr="003879A9">
        <w:rPr>
          <w:rFonts w:eastAsia="Arial" w:cs="Arial"/>
          <w:sz w:val="24"/>
          <w:szCs w:val="24"/>
        </w:rPr>
        <w:t>risk</w:t>
      </w:r>
      <w:proofErr w:type="gramEnd"/>
    </w:p>
    <w:p w14:paraId="0EA82980" w14:textId="77777777" w:rsidR="00664500" w:rsidRPr="003879A9" w:rsidRDefault="00664500" w:rsidP="00664500">
      <w:pPr>
        <w:pStyle w:val="ListParagraph"/>
        <w:numPr>
          <w:ilvl w:val="0"/>
          <w:numId w:val="1"/>
        </w:numPr>
        <w:spacing w:before="40" w:after="40" w:line="240" w:lineRule="auto"/>
        <w:contextualSpacing w:val="0"/>
        <w:rPr>
          <w:sz w:val="24"/>
          <w:szCs w:val="24"/>
        </w:rPr>
      </w:pPr>
      <w:r w:rsidRPr="003879A9">
        <w:rPr>
          <w:rFonts w:eastAsia="Arial" w:cs="Arial"/>
          <w:sz w:val="24"/>
          <w:szCs w:val="24"/>
        </w:rPr>
        <w:t xml:space="preserve">Embed risk awareness into all areas of Council </w:t>
      </w:r>
      <w:proofErr w:type="gramStart"/>
      <w:r w:rsidRPr="003879A9">
        <w:rPr>
          <w:rFonts w:eastAsia="Arial" w:cs="Arial"/>
          <w:sz w:val="24"/>
          <w:szCs w:val="24"/>
        </w:rPr>
        <w:t>activity</w:t>
      </w:r>
      <w:proofErr w:type="gramEnd"/>
    </w:p>
    <w:p w14:paraId="644CD3DD" w14:textId="77777777" w:rsidR="00664500" w:rsidRPr="003879A9" w:rsidRDefault="00664500" w:rsidP="00664500">
      <w:pPr>
        <w:pStyle w:val="ListParagraph"/>
        <w:numPr>
          <w:ilvl w:val="0"/>
          <w:numId w:val="1"/>
        </w:numPr>
        <w:spacing w:before="40" w:after="40" w:line="240" w:lineRule="auto"/>
        <w:contextualSpacing w:val="0"/>
        <w:rPr>
          <w:sz w:val="24"/>
          <w:szCs w:val="24"/>
        </w:rPr>
      </w:pPr>
      <w:r w:rsidRPr="003879A9">
        <w:rPr>
          <w:rFonts w:eastAsia="Arial" w:cs="Arial"/>
          <w:sz w:val="24"/>
          <w:szCs w:val="24"/>
        </w:rPr>
        <w:t xml:space="preserve">Protect the Council's financial position, reputation, and legal </w:t>
      </w:r>
      <w:proofErr w:type="gramStart"/>
      <w:r w:rsidRPr="003879A9">
        <w:rPr>
          <w:rFonts w:eastAsia="Arial" w:cs="Arial"/>
          <w:sz w:val="24"/>
          <w:szCs w:val="24"/>
        </w:rPr>
        <w:t>standing</w:t>
      </w:r>
      <w:proofErr w:type="gramEnd"/>
    </w:p>
    <w:p w14:paraId="7268A03F" w14:textId="77777777" w:rsidR="00664500" w:rsidRPr="003879A9" w:rsidRDefault="00664500" w:rsidP="00664500">
      <w:pPr>
        <w:pStyle w:val="ListParagraph"/>
        <w:numPr>
          <w:ilvl w:val="0"/>
          <w:numId w:val="1"/>
        </w:numPr>
        <w:spacing w:before="40" w:after="40" w:line="240" w:lineRule="auto"/>
        <w:contextualSpacing w:val="0"/>
        <w:rPr>
          <w:sz w:val="24"/>
          <w:szCs w:val="24"/>
        </w:rPr>
      </w:pPr>
      <w:r w:rsidRPr="003879A9">
        <w:rPr>
          <w:rFonts w:eastAsia="Arial" w:cs="Arial"/>
          <w:sz w:val="24"/>
          <w:szCs w:val="24"/>
        </w:rPr>
        <w:t xml:space="preserve">Ensure the safety and wellbeing of those who use Council facilities and </w:t>
      </w:r>
      <w:proofErr w:type="gramStart"/>
      <w:r w:rsidRPr="003879A9">
        <w:rPr>
          <w:rFonts w:eastAsia="Arial" w:cs="Arial"/>
          <w:sz w:val="24"/>
          <w:szCs w:val="24"/>
        </w:rPr>
        <w:t>services</w:t>
      </w:r>
      <w:proofErr w:type="gramEnd"/>
    </w:p>
    <w:p w14:paraId="32D87E5C" w14:textId="77777777" w:rsidR="00664500" w:rsidRPr="003879A9" w:rsidRDefault="00664500" w:rsidP="00664500">
      <w:pPr>
        <w:pStyle w:val="ListParagraph"/>
        <w:numPr>
          <w:ilvl w:val="0"/>
          <w:numId w:val="1"/>
        </w:numPr>
        <w:spacing w:before="40" w:after="40" w:line="240" w:lineRule="auto"/>
        <w:contextualSpacing w:val="0"/>
        <w:rPr>
          <w:sz w:val="24"/>
          <w:szCs w:val="24"/>
        </w:rPr>
      </w:pPr>
      <w:r w:rsidRPr="003879A9">
        <w:rPr>
          <w:rFonts w:eastAsia="Arial" w:cs="Arial"/>
          <w:sz w:val="24"/>
          <w:szCs w:val="24"/>
        </w:rPr>
        <w:t xml:space="preserve">Demonstrate transparency and accountability to the local </w:t>
      </w:r>
      <w:proofErr w:type="gramStart"/>
      <w:r w:rsidRPr="003879A9">
        <w:rPr>
          <w:rFonts w:eastAsia="Arial" w:cs="Arial"/>
          <w:sz w:val="24"/>
          <w:szCs w:val="24"/>
        </w:rPr>
        <w:t>community</w:t>
      </w:r>
      <w:proofErr w:type="gramEnd"/>
    </w:p>
    <w:p w14:paraId="0A405071" w14:textId="77777777" w:rsidR="004A52EC" w:rsidRPr="003879A9" w:rsidRDefault="004A52EC" w:rsidP="00D3791A">
      <w:pPr>
        <w:spacing w:before="60" w:after="100"/>
        <w:jc w:val="both"/>
        <w:rPr>
          <w:rFonts w:eastAsia="Arial" w:cs="Arial"/>
          <w:sz w:val="24"/>
          <w:szCs w:val="24"/>
        </w:rPr>
      </w:pPr>
    </w:p>
    <w:p w14:paraId="3415BDC8" w14:textId="0810DECF" w:rsidR="00D3791A" w:rsidRPr="003879A9" w:rsidRDefault="00D3791A" w:rsidP="00D3791A">
      <w:pPr>
        <w:spacing w:before="60" w:after="100"/>
        <w:jc w:val="both"/>
        <w:rPr>
          <w:sz w:val="24"/>
          <w:szCs w:val="24"/>
        </w:rPr>
      </w:pPr>
      <w:r w:rsidRPr="003879A9">
        <w:rPr>
          <w:rFonts w:eastAsia="Arial" w:cs="Arial"/>
          <w:sz w:val="24"/>
          <w:szCs w:val="24"/>
        </w:rPr>
        <w:t>This policy applies to all areas of Parish Council activity, including but not limited to:</w:t>
      </w:r>
    </w:p>
    <w:p w14:paraId="411E665E" w14:textId="77777777" w:rsidR="00D3791A" w:rsidRPr="003879A9" w:rsidRDefault="00D3791A" w:rsidP="00D3791A">
      <w:pPr>
        <w:pStyle w:val="ListParagraph"/>
        <w:numPr>
          <w:ilvl w:val="0"/>
          <w:numId w:val="1"/>
        </w:numPr>
        <w:spacing w:before="40" w:after="40" w:line="240" w:lineRule="auto"/>
        <w:contextualSpacing w:val="0"/>
        <w:rPr>
          <w:sz w:val="24"/>
          <w:szCs w:val="24"/>
        </w:rPr>
      </w:pPr>
      <w:r w:rsidRPr="003879A9">
        <w:rPr>
          <w:rFonts w:eastAsia="Arial" w:cs="Arial"/>
          <w:sz w:val="24"/>
          <w:szCs w:val="24"/>
        </w:rPr>
        <w:t>Financial management and internal controls</w:t>
      </w:r>
    </w:p>
    <w:p w14:paraId="4649ED47" w14:textId="77777777" w:rsidR="00D3791A" w:rsidRPr="003879A9" w:rsidRDefault="00D3791A" w:rsidP="00D3791A">
      <w:pPr>
        <w:pStyle w:val="ListParagraph"/>
        <w:numPr>
          <w:ilvl w:val="0"/>
          <w:numId w:val="1"/>
        </w:numPr>
        <w:spacing w:before="40" w:after="40" w:line="240" w:lineRule="auto"/>
        <w:contextualSpacing w:val="0"/>
        <w:rPr>
          <w:sz w:val="24"/>
          <w:szCs w:val="24"/>
        </w:rPr>
      </w:pPr>
      <w:r w:rsidRPr="003879A9">
        <w:rPr>
          <w:rFonts w:eastAsia="Arial" w:cs="Arial"/>
          <w:sz w:val="24"/>
          <w:szCs w:val="24"/>
        </w:rPr>
        <w:t>Playground facilities and public open spaces</w:t>
      </w:r>
    </w:p>
    <w:p w14:paraId="1D20A16D" w14:textId="77777777" w:rsidR="00D3791A" w:rsidRPr="003879A9" w:rsidRDefault="00D3791A" w:rsidP="00D3791A">
      <w:pPr>
        <w:pStyle w:val="ListParagraph"/>
        <w:numPr>
          <w:ilvl w:val="0"/>
          <w:numId w:val="1"/>
        </w:numPr>
        <w:spacing w:before="40" w:after="40" w:line="240" w:lineRule="auto"/>
        <w:contextualSpacing w:val="0"/>
        <w:rPr>
          <w:sz w:val="24"/>
          <w:szCs w:val="24"/>
        </w:rPr>
      </w:pPr>
      <w:r w:rsidRPr="003879A9">
        <w:rPr>
          <w:rFonts w:eastAsia="Arial" w:cs="Arial"/>
          <w:sz w:val="24"/>
          <w:szCs w:val="24"/>
        </w:rPr>
        <w:t>Cemetery operations and management</w:t>
      </w:r>
    </w:p>
    <w:p w14:paraId="07DD83E7" w14:textId="77777777" w:rsidR="00D3791A" w:rsidRPr="003879A9" w:rsidRDefault="00D3791A" w:rsidP="00D3791A">
      <w:pPr>
        <w:pStyle w:val="ListParagraph"/>
        <w:numPr>
          <w:ilvl w:val="0"/>
          <w:numId w:val="1"/>
        </w:numPr>
        <w:spacing w:before="40" w:after="40" w:line="240" w:lineRule="auto"/>
        <w:contextualSpacing w:val="0"/>
        <w:rPr>
          <w:sz w:val="24"/>
          <w:szCs w:val="24"/>
        </w:rPr>
      </w:pPr>
      <w:r w:rsidRPr="003879A9">
        <w:rPr>
          <w:rFonts w:eastAsia="Arial" w:cs="Arial"/>
          <w:sz w:val="24"/>
          <w:szCs w:val="24"/>
        </w:rPr>
        <w:t>Data protection and handling of personal information</w:t>
      </w:r>
    </w:p>
    <w:p w14:paraId="5819FC53" w14:textId="5F6F651E" w:rsidR="00D3791A" w:rsidRPr="003879A9" w:rsidRDefault="00D3791A" w:rsidP="00D3791A">
      <w:pPr>
        <w:pStyle w:val="ListParagraph"/>
        <w:numPr>
          <w:ilvl w:val="0"/>
          <w:numId w:val="1"/>
        </w:numPr>
        <w:spacing w:before="40" w:after="40" w:line="240" w:lineRule="auto"/>
        <w:contextualSpacing w:val="0"/>
        <w:rPr>
          <w:sz w:val="24"/>
          <w:szCs w:val="24"/>
        </w:rPr>
      </w:pPr>
      <w:r w:rsidRPr="003879A9">
        <w:rPr>
          <w:rFonts w:eastAsia="Arial" w:cs="Arial"/>
          <w:sz w:val="24"/>
          <w:szCs w:val="24"/>
        </w:rPr>
        <w:t>Cyber security and use of digital systems</w:t>
      </w:r>
      <w:r w:rsidR="0082644C" w:rsidRPr="003879A9">
        <w:rPr>
          <w:rFonts w:eastAsia="Arial" w:cs="Arial"/>
          <w:sz w:val="24"/>
          <w:szCs w:val="24"/>
        </w:rPr>
        <w:t xml:space="preserve"> </w:t>
      </w:r>
    </w:p>
    <w:p w14:paraId="42DCA6A5" w14:textId="77777777" w:rsidR="004A52EC" w:rsidRPr="003879A9" w:rsidRDefault="004A52EC" w:rsidP="00D3791A">
      <w:pPr>
        <w:spacing w:before="40" w:after="40" w:line="240" w:lineRule="auto"/>
        <w:rPr>
          <w:rFonts w:eastAsia="Arial" w:cs="Arial"/>
          <w:sz w:val="24"/>
          <w:szCs w:val="24"/>
        </w:rPr>
      </w:pPr>
    </w:p>
    <w:p w14:paraId="2CBB37AB" w14:textId="1EF3BFC6" w:rsidR="004E4997" w:rsidRPr="003879A9" w:rsidRDefault="00D3791A" w:rsidP="00D3791A">
      <w:pPr>
        <w:spacing w:before="40" w:after="40" w:line="240" w:lineRule="auto"/>
        <w:rPr>
          <w:sz w:val="24"/>
          <w:szCs w:val="24"/>
        </w:rPr>
      </w:pPr>
      <w:r w:rsidRPr="003879A9">
        <w:rPr>
          <w:rFonts w:eastAsia="Arial" w:cs="Arial"/>
          <w:sz w:val="24"/>
          <w:szCs w:val="24"/>
        </w:rPr>
        <w:t>Th</w:t>
      </w:r>
      <w:r w:rsidR="004A52EC" w:rsidRPr="003879A9">
        <w:rPr>
          <w:rFonts w:eastAsia="Arial" w:cs="Arial"/>
          <w:sz w:val="24"/>
          <w:szCs w:val="24"/>
        </w:rPr>
        <w:t>e</w:t>
      </w:r>
      <w:r w:rsidRPr="003879A9">
        <w:rPr>
          <w:rFonts w:eastAsia="Arial" w:cs="Arial"/>
          <w:sz w:val="24"/>
          <w:szCs w:val="24"/>
        </w:rPr>
        <w:t xml:space="preserve"> policy applies to Councillors, the Parish Clerk, any employed or contracted staff, and volunteers acting on behalf of the Council</w:t>
      </w:r>
      <w:r w:rsidR="004A52EC" w:rsidRPr="003879A9">
        <w:rPr>
          <w:rFonts w:eastAsia="Arial" w:cs="Arial"/>
          <w:sz w:val="24"/>
          <w:szCs w:val="24"/>
        </w:rPr>
        <w:t>.</w:t>
      </w:r>
    </w:p>
    <w:p w14:paraId="27CA4D3E" w14:textId="77777777" w:rsidR="00E029C1" w:rsidRDefault="00E029C1" w:rsidP="00E029C1">
      <w:pPr>
        <w:spacing w:after="160" w:line="240" w:lineRule="auto"/>
        <w:ind w:right="-20"/>
        <w:rPr>
          <w:rFonts w:eastAsia="Arial" w:cs="Arial"/>
          <w:b/>
          <w:bCs/>
          <w:color w:val="000000" w:themeColor="text1"/>
          <w:sz w:val="28"/>
          <w:szCs w:val="28"/>
          <w:lang w:eastAsia="en-GB"/>
        </w:rPr>
      </w:pPr>
    </w:p>
    <w:p w14:paraId="4C9D0A0B" w14:textId="26E12EBA" w:rsidR="000D1E58" w:rsidRPr="00C31B9A" w:rsidRDefault="000D1E58" w:rsidP="00E029C1">
      <w:pPr>
        <w:spacing w:after="160" w:line="240" w:lineRule="auto"/>
        <w:ind w:right="-20"/>
        <w:rPr>
          <w:rFonts w:eastAsia="Arial" w:cs="Arial"/>
          <w:b/>
          <w:bCs/>
          <w:color w:val="000000" w:themeColor="text1"/>
          <w:sz w:val="28"/>
          <w:szCs w:val="28"/>
          <w:lang w:eastAsia="en-GB"/>
        </w:rPr>
      </w:pPr>
      <w:r w:rsidRPr="00C31B9A">
        <w:rPr>
          <w:rFonts w:eastAsia="Arial" w:cs="Arial"/>
          <w:b/>
          <w:bCs/>
          <w:color w:val="000000" w:themeColor="text1"/>
          <w:sz w:val="28"/>
          <w:szCs w:val="28"/>
          <w:lang w:eastAsia="en-GB"/>
        </w:rPr>
        <w:t>Risk Management Framework</w:t>
      </w:r>
    </w:p>
    <w:p w14:paraId="160B560A" w14:textId="3985DE0E" w:rsidR="001B27B7" w:rsidRPr="00511821" w:rsidRDefault="005D74D2" w:rsidP="005D74D2">
      <w:pPr>
        <w:pStyle w:val="ListParagraph"/>
        <w:numPr>
          <w:ilvl w:val="0"/>
          <w:numId w:val="2"/>
        </w:numPr>
        <w:spacing w:after="160" w:line="240" w:lineRule="auto"/>
        <w:ind w:right="-20"/>
        <w:rPr>
          <w:rFonts w:cs="Arial"/>
          <w:b/>
          <w:bCs/>
          <w:spacing w:val="-1"/>
          <w:sz w:val="24"/>
          <w:szCs w:val="24"/>
        </w:rPr>
      </w:pPr>
      <w:r w:rsidRPr="00511821">
        <w:rPr>
          <w:rFonts w:cs="Arial"/>
          <w:b/>
          <w:bCs/>
          <w:spacing w:val="-1"/>
          <w:sz w:val="24"/>
          <w:szCs w:val="24"/>
        </w:rPr>
        <w:t>Definitions</w:t>
      </w:r>
    </w:p>
    <w:p w14:paraId="126937BB" w14:textId="77777777" w:rsidR="006C2D14" w:rsidRPr="003879A9" w:rsidRDefault="006C2D14" w:rsidP="006C2D14">
      <w:pPr>
        <w:spacing w:before="60" w:after="100"/>
        <w:jc w:val="both"/>
        <w:rPr>
          <w:sz w:val="24"/>
          <w:szCs w:val="24"/>
        </w:rPr>
      </w:pPr>
      <w:r w:rsidRPr="003879A9">
        <w:rPr>
          <w:rFonts w:eastAsia="Arial" w:cs="Arial"/>
          <w:sz w:val="24"/>
          <w:szCs w:val="24"/>
        </w:rPr>
        <w:t>For the purposes of this policy, the following definitions apply:</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6760"/>
      </w:tblGrid>
      <w:tr w:rsidR="006C2D14" w14:paraId="4A839EAB" w14:textId="77777777" w:rsidTr="00042430">
        <w:trPr>
          <w:tblHeader/>
        </w:trPr>
        <w:tc>
          <w:tcPr>
            <w:tcW w:w="22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698BC33E" w14:textId="77777777" w:rsidR="006C2D14" w:rsidRPr="0084223A" w:rsidRDefault="006C2D14" w:rsidP="00042430">
            <w:pPr>
              <w:jc w:val="center"/>
            </w:pPr>
            <w:r w:rsidRPr="0084223A">
              <w:rPr>
                <w:rFonts w:eastAsia="Arial" w:cs="Arial"/>
                <w:b/>
                <w:bCs/>
                <w:color w:val="FFFFFF"/>
                <w:sz w:val="20"/>
                <w:szCs w:val="20"/>
              </w:rPr>
              <w:t>Term</w:t>
            </w:r>
          </w:p>
        </w:tc>
        <w:tc>
          <w:tcPr>
            <w:tcW w:w="67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31CE1836" w14:textId="77777777" w:rsidR="006C2D14" w:rsidRPr="0084223A" w:rsidRDefault="006C2D14" w:rsidP="00042430">
            <w:pPr>
              <w:jc w:val="center"/>
            </w:pPr>
            <w:r w:rsidRPr="0084223A">
              <w:rPr>
                <w:rFonts w:eastAsia="Arial" w:cs="Arial"/>
                <w:b/>
                <w:bCs/>
                <w:color w:val="FFFFFF"/>
                <w:sz w:val="20"/>
                <w:szCs w:val="20"/>
              </w:rPr>
              <w:t>Definition</w:t>
            </w:r>
          </w:p>
        </w:tc>
      </w:tr>
      <w:tr w:rsidR="006C2D14" w14:paraId="73A4D5AF" w14:textId="77777777" w:rsidTr="00042430">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6AD1CD" w14:textId="77777777" w:rsidR="006C2D14" w:rsidRPr="0084223A" w:rsidRDefault="006C2D14" w:rsidP="00042430">
            <w:r w:rsidRPr="0084223A">
              <w:rPr>
                <w:rFonts w:eastAsia="Arial" w:cs="Arial"/>
                <w:sz w:val="20"/>
                <w:szCs w:val="20"/>
              </w:rPr>
              <w:t>Risk</w:t>
            </w:r>
          </w:p>
        </w:tc>
        <w:tc>
          <w:tcPr>
            <w:tcW w:w="6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FF6A7B" w14:textId="77777777" w:rsidR="006C2D14" w:rsidRPr="0084223A" w:rsidRDefault="006C2D14" w:rsidP="00042430">
            <w:r w:rsidRPr="0084223A">
              <w:rPr>
                <w:rFonts w:eastAsia="Arial" w:cs="Arial"/>
                <w:sz w:val="20"/>
                <w:szCs w:val="20"/>
              </w:rPr>
              <w:t>The possibility of an event or action adversely affecting the Council's ability to achieve its objectives</w:t>
            </w:r>
          </w:p>
        </w:tc>
      </w:tr>
      <w:tr w:rsidR="006C2D14" w14:paraId="767D6E4C" w14:textId="77777777" w:rsidTr="00264F77">
        <w:tc>
          <w:tcPr>
            <w:tcW w:w="2200"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14:paraId="15A69516" w14:textId="77777777" w:rsidR="006C2D14" w:rsidRPr="0084223A" w:rsidRDefault="006C2D14" w:rsidP="00042430">
            <w:r w:rsidRPr="0084223A">
              <w:rPr>
                <w:rFonts w:eastAsia="Arial" w:cs="Arial"/>
                <w:sz w:val="20"/>
                <w:szCs w:val="20"/>
              </w:rPr>
              <w:t>Likelihood</w:t>
            </w:r>
          </w:p>
        </w:tc>
        <w:tc>
          <w:tcPr>
            <w:tcW w:w="6760"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14:paraId="32B21FDF" w14:textId="77777777" w:rsidR="006C2D14" w:rsidRPr="0084223A" w:rsidRDefault="006C2D14" w:rsidP="00042430">
            <w:r w:rsidRPr="0084223A">
              <w:rPr>
                <w:rFonts w:eastAsia="Arial" w:cs="Arial"/>
                <w:sz w:val="20"/>
                <w:szCs w:val="20"/>
              </w:rPr>
              <w:t>The probability that a risk event will occur (Rare / Unlikely / Possible / Likely / Almost Certain)</w:t>
            </w:r>
          </w:p>
        </w:tc>
      </w:tr>
      <w:tr w:rsidR="006C2D14" w14:paraId="04CD3D97" w14:textId="77777777" w:rsidTr="00264F77">
        <w:tc>
          <w:tcPr>
            <w:tcW w:w="2200"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14:paraId="44FD53F8" w14:textId="77777777" w:rsidR="006C2D14" w:rsidRPr="0084223A" w:rsidRDefault="006C2D14" w:rsidP="00042430">
            <w:r w:rsidRPr="0084223A">
              <w:rPr>
                <w:rFonts w:eastAsia="Arial" w:cs="Arial"/>
                <w:sz w:val="20"/>
                <w:szCs w:val="20"/>
              </w:rPr>
              <w:lastRenderedPageBreak/>
              <w:t>Impact</w:t>
            </w:r>
          </w:p>
        </w:tc>
        <w:tc>
          <w:tcPr>
            <w:tcW w:w="6760"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14:paraId="458B1C66" w14:textId="77777777" w:rsidR="006C2D14" w:rsidRPr="0084223A" w:rsidRDefault="006C2D14" w:rsidP="00042430">
            <w:r w:rsidRPr="0084223A">
              <w:rPr>
                <w:rFonts w:eastAsia="Arial" w:cs="Arial"/>
                <w:sz w:val="20"/>
                <w:szCs w:val="20"/>
              </w:rPr>
              <w:t>The severity of the consequence if the risk materialises (Negligible / Minor / Moderate / Major / Catastrophic)</w:t>
            </w:r>
          </w:p>
        </w:tc>
      </w:tr>
      <w:tr w:rsidR="006C2D14" w14:paraId="1CB54F3C" w14:textId="77777777" w:rsidTr="00264F77">
        <w:tc>
          <w:tcPr>
            <w:tcW w:w="2200"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14:paraId="50C076BD" w14:textId="77777777" w:rsidR="006C2D14" w:rsidRPr="0084223A" w:rsidRDefault="006C2D14" w:rsidP="00042430">
            <w:r w:rsidRPr="0084223A">
              <w:rPr>
                <w:rFonts w:eastAsia="Arial" w:cs="Arial"/>
                <w:sz w:val="20"/>
                <w:szCs w:val="20"/>
              </w:rPr>
              <w:t>Risk Score</w:t>
            </w:r>
          </w:p>
        </w:tc>
        <w:tc>
          <w:tcPr>
            <w:tcW w:w="6760"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14:paraId="029802EF" w14:textId="77777777" w:rsidR="006C2D14" w:rsidRPr="0084223A" w:rsidRDefault="006C2D14" w:rsidP="00042430">
            <w:r w:rsidRPr="0084223A">
              <w:rPr>
                <w:rFonts w:eastAsia="Arial" w:cs="Arial"/>
                <w:sz w:val="20"/>
                <w:szCs w:val="20"/>
              </w:rPr>
              <w:t>Likelihood x Impact, used to prioritise risks (Low / Medium / High / Critical)</w:t>
            </w:r>
          </w:p>
        </w:tc>
      </w:tr>
      <w:tr w:rsidR="006C2D14" w14:paraId="60ABE160" w14:textId="77777777" w:rsidTr="00264F77">
        <w:tc>
          <w:tcPr>
            <w:tcW w:w="2200"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14:paraId="72AD846B" w14:textId="77777777" w:rsidR="006C2D14" w:rsidRPr="0084223A" w:rsidRDefault="006C2D14" w:rsidP="00042430">
            <w:r w:rsidRPr="0084223A">
              <w:rPr>
                <w:rFonts w:eastAsia="Arial" w:cs="Arial"/>
                <w:sz w:val="20"/>
                <w:szCs w:val="20"/>
              </w:rPr>
              <w:t>Risk Owner</w:t>
            </w:r>
          </w:p>
        </w:tc>
        <w:tc>
          <w:tcPr>
            <w:tcW w:w="6760"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14:paraId="05BDE2A1" w14:textId="77777777" w:rsidR="006C2D14" w:rsidRPr="0084223A" w:rsidRDefault="006C2D14" w:rsidP="00042430">
            <w:r w:rsidRPr="0084223A">
              <w:rPr>
                <w:rFonts w:eastAsia="Arial" w:cs="Arial"/>
                <w:sz w:val="20"/>
                <w:szCs w:val="20"/>
              </w:rPr>
              <w:t>The person or body responsible for monitoring and managing a specific risk</w:t>
            </w:r>
          </w:p>
        </w:tc>
      </w:tr>
      <w:tr w:rsidR="006C2D14" w14:paraId="17F2375D" w14:textId="77777777" w:rsidTr="00264F77">
        <w:tc>
          <w:tcPr>
            <w:tcW w:w="2200"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14:paraId="3CF20421" w14:textId="77777777" w:rsidR="006C2D14" w:rsidRPr="0084223A" w:rsidRDefault="006C2D14" w:rsidP="00042430">
            <w:r w:rsidRPr="0084223A">
              <w:rPr>
                <w:rFonts w:eastAsia="Arial" w:cs="Arial"/>
                <w:sz w:val="20"/>
                <w:szCs w:val="20"/>
              </w:rPr>
              <w:t>Control</w:t>
            </w:r>
          </w:p>
        </w:tc>
        <w:tc>
          <w:tcPr>
            <w:tcW w:w="6760"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14:paraId="2B95412D" w14:textId="77777777" w:rsidR="006C2D14" w:rsidRPr="0084223A" w:rsidRDefault="006C2D14" w:rsidP="00042430">
            <w:r w:rsidRPr="0084223A">
              <w:rPr>
                <w:rFonts w:eastAsia="Arial" w:cs="Arial"/>
                <w:sz w:val="20"/>
                <w:szCs w:val="20"/>
              </w:rPr>
              <w:t>An action, procedure, or safeguard that reduces the likelihood or impact of a risk</w:t>
            </w:r>
          </w:p>
        </w:tc>
      </w:tr>
    </w:tbl>
    <w:p w14:paraId="749F4892" w14:textId="77777777" w:rsidR="00A07967" w:rsidRDefault="00A07967" w:rsidP="00A07967">
      <w:pPr>
        <w:spacing w:after="160" w:line="240" w:lineRule="auto"/>
        <w:ind w:right="-20"/>
        <w:rPr>
          <w:rFonts w:cs="Arial"/>
          <w:spacing w:val="-1"/>
          <w:sz w:val="24"/>
          <w:szCs w:val="24"/>
        </w:rPr>
      </w:pPr>
    </w:p>
    <w:p w14:paraId="250815DA" w14:textId="77777777" w:rsidR="00A062EE" w:rsidRPr="00A07967" w:rsidRDefault="00A062EE" w:rsidP="00A07967">
      <w:pPr>
        <w:spacing w:after="160" w:line="240" w:lineRule="auto"/>
        <w:ind w:right="-20"/>
        <w:rPr>
          <w:rFonts w:cs="Arial"/>
          <w:spacing w:val="-1"/>
          <w:sz w:val="24"/>
          <w:szCs w:val="24"/>
        </w:rPr>
      </w:pPr>
    </w:p>
    <w:p w14:paraId="4288C9C8" w14:textId="66E28CD0" w:rsidR="00AD2B4A" w:rsidRPr="00511821" w:rsidRDefault="00AD2B4A" w:rsidP="005D74D2">
      <w:pPr>
        <w:pStyle w:val="ListParagraph"/>
        <w:numPr>
          <w:ilvl w:val="0"/>
          <w:numId w:val="2"/>
        </w:numPr>
        <w:spacing w:after="160" w:line="240" w:lineRule="auto"/>
        <w:ind w:right="-20"/>
        <w:rPr>
          <w:rFonts w:cs="Arial"/>
          <w:b/>
          <w:bCs/>
          <w:spacing w:val="-1"/>
          <w:sz w:val="24"/>
          <w:szCs w:val="24"/>
        </w:rPr>
      </w:pPr>
      <w:r w:rsidRPr="00511821">
        <w:rPr>
          <w:rFonts w:cs="Arial"/>
          <w:b/>
          <w:bCs/>
          <w:spacing w:val="-1"/>
          <w:sz w:val="24"/>
          <w:szCs w:val="24"/>
        </w:rPr>
        <w:t xml:space="preserve">Risk scoring </w:t>
      </w:r>
      <w:proofErr w:type="gramStart"/>
      <w:r w:rsidRPr="00511821">
        <w:rPr>
          <w:rFonts w:cs="Arial"/>
          <w:b/>
          <w:bCs/>
          <w:spacing w:val="-1"/>
          <w:sz w:val="24"/>
          <w:szCs w:val="24"/>
        </w:rPr>
        <w:t>matrix</w:t>
      </w:r>
      <w:proofErr w:type="gramEnd"/>
    </w:p>
    <w:p w14:paraId="51D7D2EE" w14:textId="5E23F1F6" w:rsidR="0015331D" w:rsidRPr="003879A9" w:rsidRDefault="0015331D" w:rsidP="0015331D">
      <w:pPr>
        <w:spacing w:before="60" w:after="100"/>
        <w:jc w:val="both"/>
      </w:pPr>
      <w:r w:rsidRPr="003879A9">
        <w:rPr>
          <w:rFonts w:eastAsia="Arial" w:cs="Arial"/>
        </w:rPr>
        <w:t xml:space="preserve">Risks are scored using the following matrix. The Risk Score is determined by multiplying </w:t>
      </w:r>
      <w:r w:rsidR="00635A7F">
        <w:rPr>
          <w:rFonts w:eastAsia="Arial" w:cs="Arial"/>
        </w:rPr>
        <w:t>severity</w:t>
      </w:r>
      <w:r w:rsidRPr="003879A9">
        <w:rPr>
          <w:rFonts w:eastAsia="Arial" w:cs="Arial"/>
        </w:rPr>
        <w:t xml:space="preserve"> by </w:t>
      </w:r>
      <w:r w:rsidR="00635A7F">
        <w:rPr>
          <w:rFonts w:eastAsia="Arial" w:cs="Arial"/>
        </w:rPr>
        <w:t>probability</w:t>
      </w:r>
      <w:r w:rsidRPr="003879A9">
        <w:rPr>
          <w:rFonts w:eastAsia="Arial" w:cs="Arial"/>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875"/>
        <w:gridCol w:w="1446"/>
        <w:gridCol w:w="1446"/>
        <w:gridCol w:w="1446"/>
        <w:gridCol w:w="1446"/>
        <w:gridCol w:w="1446"/>
      </w:tblGrid>
      <w:tr w:rsidR="00E41CBB" w:rsidRPr="00E6777E" w14:paraId="7106B1DA" w14:textId="77777777" w:rsidTr="00EB33F2">
        <w:trPr>
          <w:trHeight w:val="454"/>
        </w:trPr>
        <w:tc>
          <w:tcPr>
            <w:tcW w:w="1701" w:type="dxa"/>
            <w:gridSpan w:val="2"/>
            <w:vMerge w:val="restart"/>
            <w:tcBorders>
              <w:top w:val="single" w:sz="8" w:space="0" w:color="000000"/>
            </w:tcBorders>
            <w:vAlign w:val="center"/>
          </w:tcPr>
          <w:p w14:paraId="7598E419" w14:textId="77777777" w:rsidR="00E41CBB" w:rsidRPr="00E6777E" w:rsidRDefault="00E41CBB" w:rsidP="00EB33F2">
            <w:pPr>
              <w:spacing w:after="0" w:line="240" w:lineRule="auto"/>
              <w:jc w:val="center"/>
            </w:pPr>
          </w:p>
        </w:tc>
        <w:tc>
          <w:tcPr>
            <w:tcW w:w="7230" w:type="dxa"/>
            <w:gridSpan w:val="5"/>
            <w:tcBorders>
              <w:top w:val="single" w:sz="8" w:space="0" w:color="000000"/>
            </w:tcBorders>
            <w:vAlign w:val="center"/>
          </w:tcPr>
          <w:p w14:paraId="057394B6" w14:textId="22918D4A" w:rsidR="00E41CBB" w:rsidRPr="00E6777E" w:rsidRDefault="00AE349D" w:rsidP="00EB33F2">
            <w:pPr>
              <w:spacing w:after="0" w:line="240" w:lineRule="auto"/>
              <w:jc w:val="center"/>
              <w:rPr>
                <w:b/>
              </w:rPr>
            </w:pPr>
            <w:r>
              <w:rPr>
                <w:b/>
              </w:rPr>
              <w:t>SEVERITY</w:t>
            </w:r>
          </w:p>
        </w:tc>
      </w:tr>
      <w:tr w:rsidR="00E41CBB" w:rsidRPr="00E6777E" w14:paraId="7859C6C7" w14:textId="77777777" w:rsidTr="00EB33F2">
        <w:trPr>
          <w:trHeight w:val="454"/>
        </w:trPr>
        <w:tc>
          <w:tcPr>
            <w:tcW w:w="1701" w:type="dxa"/>
            <w:gridSpan w:val="2"/>
            <w:vMerge/>
            <w:vAlign w:val="center"/>
          </w:tcPr>
          <w:p w14:paraId="28E1EBA9" w14:textId="77777777" w:rsidR="00E41CBB" w:rsidRPr="00E6777E" w:rsidRDefault="00E41CBB" w:rsidP="00EB33F2">
            <w:pPr>
              <w:spacing w:after="0" w:line="240" w:lineRule="auto"/>
              <w:jc w:val="center"/>
            </w:pPr>
          </w:p>
        </w:tc>
        <w:tc>
          <w:tcPr>
            <w:tcW w:w="1446" w:type="dxa"/>
            <w:vAlign w:val="center"/>
          </w:tcPr>
          <w:p w14:paraId="7E1A88C9" w14:textId="77777777" w:rsidR="00E41CBB" w:rsidRPr="00E6777E" w:rsidRDefault="00E41CBB" w:rsidP="00EB33F2">
            <w:pPr>
              <w:spacing w:after="0" w:line="240" w:lineRule="auto"/>
              <w:jc w:val="center"/>
              <w:rPr>
                <w:b/>
              </w:rPr>
            </w:pPr>
            <w:r w:rsidRPr="00E6777E">
              <w:rPr>
                <w:b/>
                <w:w w:val="99"/>
              </w:rPr>
              <w:t>1</w:t>
            </w:r>
          </w:p>
        </w:tc>
        <w:tc>
          <w:tcPr>
            <w:tcW w:w="1446" w:type="dxa"/>
            <w:vAlign w:val="center"/>
          </w:tcPr>
          <w:p w14:paraId="5AFE716B" w14:textId="77777777" w:rsidR="00E41CBB" w:rsidRPr="00E6777E" w:rsidRDefault="00E41CBB" w:rsidP="00EB33F2">
            <w:pPr>
              <w:spacing w:after="0" w:line="240" w:lineRule="auto"/>
              <w:jc w:val="center"/>
              <w:rPr>
                <w:b/>
              </w:rPr>
            </w:pPr>
            <w:r w:rsidRPr="00E6777E">
              <w:rPr>
                <w:b/>
                <w:w w:val="99"/>
              </w:rPr>
              <w:t>2</w:t>
            </w:r>
          </w:p>
        </w:tc>
        <w:tc>
          <w:tcPr>
            <w:tcW w:w="1446" w:type="dxa"/>
            <w:vAlign w:val="center"/>
          </w:tcPr>
          <w:p w14:paraId="6E51ED03" w14:textId="77777777" w:rsidR="00E41CBB" w:rsidRPr="00E6777E" w:rsidRDefault="00E41CBB" w:rsidP="00EB33F2">
            <w:pPr>
              <w:spacing w:after="0" w:line="240" w:lineRule="auto"/>
              <w:jc w:val="center"/>
              <w:rPr>
                <w:b/>
              </w:rPr>
            </w:pPr>
            <w:r w:rsidRPr="00E6777E">
              <w:rPr>
                <w:b/>
                <w:w w:val="99"/>
              </w:rPr>
              <w:t>3</w:t>
            </w:r>
          </w:p>
        </w:tc>
        <w:tc>
          <w:tcPr>
            <w:tcW w:w="1446" w:type="dxa"/>
            <w:vAlign w:val="center"/>
          </w:tcPr>
          <w:p w14:paraId="57FE6F72" w14:textId="77777777" w:rsidR="00E41CBB" w:rsidRPr="00E6777E" w:rsidRDefault="00E41CBB" w:rsidP="00EB33F2">
            <w:pPr>
              <w:spacing w:after="0" w:line="240" w:lineRule="auto"/>
              <w:jc w:val="center"/>
              <w:rPr>
                <w:b/>
              </w:rPr>
            </w:pPr>
            <w:r w:rsidRPr="00E6777E">
              <w:rPr>
                <w:b/>
                <w:w w:val="99"/>
              </w:rPr>
              <w:t>4</w:t>
            </w:r>
          </w:p>
        </w:tc>
        <w:tc>
          <w:tcPr>
            <w:tcW w:w="1446" w:type="dxa"/>
            <w:vAlign w:val="center"/>
          </w:tcPr>
          <w:p w14:paraId="57063CDB" w14:textId="77777777" w:rsidR="00E41CBB" w:rsidRPr="00E6777E" w:rsidRDefault="00E41CBB" w:rsidP="00EB33F2">
            <w:pPr>
              <w:spacing w:after="0" w:line="240" w:lineRule="auto"/>
              <w:jc w:val="center"/>
              <w:rPr>
                <w:b/>
              </w:rPr>
            </w:pPr>
            <w:r w:rsidRPr="00E6777E">
              <w:rPr>
                <w:b/>
                <w:w w:val="99"/>
              </w:rPr>
              <w:t>5</w:t>
            </w:r>
          </w:p>
        </w:tc>
      </w:tr>
      <w:tr w:rsidR="00E33227" w:rsidRPr="00E6777E" w14:paraId="7F100AA4" w14:textId="77777777" w:rsidTr="00AE2BF8">
        <w:trPr>
          <w:trHeight w:val="451"/>
        </w:trPr>
        <w:tc>
          <w:tcPr>
            <w:tcW w:w="826" w:type="dxa"/>
            <w:vMerge w:val="restart"/>
            <w:textDirection w:val="btLr"/>
            <w:vAlign w:val="center"/>
          </w:tcPr>
          <w:p w14:paraId="272BC046" w14:textId="42FACCE2" w:rsidR="00E33227" w:rsidRPr="00E6777E" w:rsidRDefault="00E33227" w:rsidP="00E33227">
            <w:pPr>
              <w:spacing w:after="0" w:line="240" w:lineRule="auto"/>
              <w:jc w:val="center"/>
              <w:rPr>
                <w:b/>
              </w:rPr>
            </w:pPr>
            <w:r>
              <w:rPr>
                <w:b/>
              </w:rPr>
              <w:t>PROBABILITY</w:t>
            </w:r>
          </w:p>
        </w:tc>
        <w:tc>
          <w:tcPr>
            <w:tcW w:w="875" w:type="dxa"/>
            <w:vAlign w:val="center"/>
          </w:tcPr>
          <w:p w14:paraId="547BFA32" w14:textId="10B6E09C" w:rsidR="00E33227" w:rsidRPr="00E6777E" w:rsidRDefault="00E33227" w:rsidP="00E33227">
            <w:pPr>
              <w:spacing w:after="0" w:line="240" w:lineRule="auto"/>
              <w:jc w:val="center"/>
              <w:rPr>
                <w:b/>
              </w:rPr>
            </w:pPr>
            <w:r w:rsidRPr="00E6777E">
              <w:rPr>
                <w:b/>
                <w:w w:val="99"/>
              </w:rPr>
              <w:t>1</w:t>
            </w:r>
          </w:p>
        </w:tc>
        <w:tc>
          <w:tcPr>
            <w:tcW w:w="1446" w:type="dxa"/>
            <w:shd w:val="clear" w:color="auto" w:fill="92D050"/>
            <w:vAlign w:val="center"/>
          </w:tcPr>
          <w:p w14:paraId="333A35EB" w14:textId="52D38442" w:rsidR="00E33227" w:rsidRPr="00E6777E" w:rsidRDefault="00E33227" w:rsidP="00E33227">
            <w:pPr>
              <w:spacing w:after="0" w:line="240" w:lineRule="auto"/>
              <w:jc w:val="center"/>
            </w:pPr>
            <w:r>
              <w:rPr>
                <w:w w:val="99"/>
              </w:rPr>
              <w:t>1 (LOW)</w:t>
            </w:r>
          </w:p>
        </w:tc>
        <w:tc>
          <w:tcPr>
            <w:tcW w:w="1446" w:type="dxa"/>
            <w:shd w:val="clear" w:color="auto" w:fill="92D050"/>
            <w:vAlign w:val="center"/>
          </w:tcPr>
          <w:p w14:paraId="5B334579" w14:textId="1785ABAD" w:rsidR="00E33227" w:rsidRPr="00E6777E" w:rsidRDefault="00E33227" w:rsidP="00E33227">
            <w:pPr>
              <w:spacing w:after="0" w:line="240" w:lineRule="auto"/>
              <w:jc w:val="center"/>
            </w:pPr>
            <w:r w:rsidRPr="00E6777E">
              <w:rPr>
                <w:w w:val="99"/>
              </w:rPr>
              <w:t>2</w:t>
            </w:r>
            <w:r>
              <w:rPr>
                <w:w w:val="99"/>
              </w:rPr>
              <w:t xml:space="preserve"> (LOW)</w:t>
            </w:r>
          </w:p>
        </w:tc>
        <w:tc>
          <w:tcPr>
            <w:tcW w:w="1446" w:type="dxa"/>
            <w:shd w:val="clear" w:color="auto" w:fill="92D050"/>
            <w:vAlign w:val="center"/>
          </w:tcPr>
          <w:p w14:paraId="58FD0946" w14:textId="7E17BB33" w:rsidR="00E33227" w:rsidRPr="00E6777E" w:rsidRDefault="00E33227" w:rsidP="00E33227">
            <w:pPr>
              <w:spacing w:after="0" w:line="240" w:lineRule="auto"/>
              <w:jc w:val="center"/>
            </w:pPr>
            <w:r w:rsidRPr="00E6777E">
              <w:rPr>
                <w:w w:val="99"/>
              </w:rPr>
              <w:t>3</w:t>
            </w:r>
            <w:r>
              <w:rPr>
                <w:w w:val="99"/>
              </w:rPr>
              <w:t xml:space="preserve"> (LOW)</w:t>
            </w:r>
          </w:p>
        </w:tc>
        <w:tc>
          <w:tcPr>
            <w:tcW w:w="1446" w:type="dxa"/>
            <w:shd w:val="clear" w:color="auto" w:fill="92D050"/>
            <w:vAlign w:val="center"/>
          </w:tcPr>
          <w:p w14:paraId="7E59A5DB" w14:textId="6F758BEF" w:rsidR="00E33227" w:rsidRPr="00E6777E" w:rsidRDefault="00E33227" w:rsidP="00E33227">
            <w:pPr>
              <w:spacing w:after="0" w:line="240" w:lineRule="auto"/>
              <w:jc w:val="center"/>
            </w:pPr>
            <w:r w:rsidRPr="00E6777E">
              <w:rPr>
                <w:w w:val="99"/>
              </w:rPr>
              <w:t>4</w:t>
            </w:r>
            <w:r>
              <w:rPr>
                <w:w w:val="99"/>
              </w:rPr>
              <w:t xml:space="preserve"> (LOW)</w:t>
            </w:r>
          </w:p>
        </w:tc>
        <w:tc>
          <w:tcPr>
            <w:tcW w:w="1446" w:type="dxa"/>
            <w:shd w:val="clear" w:color="auto" w:fill="FFFF00"/>
            <w:vAlign w:val="center"/>
          </w:tcPr>
          <w:p w14:paraId="503CC42F" w14:textId="0B864C22" w:rsidR="00E33227" w:rsidRPr="00E6777E" w:rsidRDefault="00E33227" w:rsidP="00E33227">
            <w:pPr>
              <w:spacing w:after="0" w:line="240" w:lineRule="auto"/>
              <w:jc w:val="center"/>
            </w:pPr>
            <w:r w:rsidRPr="00E6777E">
              <w:rPr>
                <w:w w:val="99"/>
              </w:rPr>
              <w:t>5</w:t>
            </w:r>
            <w:r>
              <w:rPr>
                <w:w w:val="99"/>
              </w:rPr>
              <w:t xml:space="preserve"> (MEDIUM)</w:t>
            </w:r>
          </w:p>
        </w:tc>
      </w:tr>
      <w:tr w:rsidR="00E33227" w:rsidRPr="00E6777E" w14:paraId="6A096A92" w14:textId="77777777" w:rsidTr="0085430A">
        <w:trPr>
          <w:trHeight w:val="451"/>
        </w:trPr>
        <w:tc>
          <w:tcPr>
            <w:tcW w:w="826" w:type="dxa"/>
            <w:vMerge/>
            <w:textDirection w:val="btLr"/>
            <w:vAlign w:val="center"/>
          </w:tcPr>
          <w:p w14:paraId="2575290B" w14:textId="77777777" w:rsidR="00E33227" w:rsidRPr="00E6777E" w:rsidRDefault="00E33227" w:rsidP="00E33227">
            <w:pPr>
              <w:spacing w:after="0" w:line="240" w:lineRule="auto"/>
              <w:jc w:val="center"/>
            </w:pPr>
          </w:p>
        </w:tc>
        <w:tc>
          <w:tcPr>
            <w:tcW w:w="875" w:type="dxa"/>
            <w:vAlign w:val="center"/>
          </w:tcPr>
          <w:p w14:paraId="1AB46164" w14:textId="66C49927" w:rsidR="00E33227" w:rsidRPr="00E6777E" w:rsidRDefault="00E33227" w:rsidP="00E33227">
            <w:pPr>
              <w:spacing w:after="0" w:line="240" w:lineRule="auto"/>
              <w:jc w:val="center"/>
              <w:rPr>
                <w:b/>
              </w:rPr>
            </w:pPr>
            <w:r w:rsidRPr="00E6777E">
              <w:rPr>
                <w:b/>
                <w:w w:val="99"/>
              </w:rPr>
              <w:t>2</w:t>
            </w:r>
          </w:p>
        </w:tc>
        <w:tc>
          <w:tcPr>
            <w:tcW w:w="1446" w:type="dxa"/>
            <w:shd w:val="clear" w:color="auto" w:fill="92D050"/>
            <w:vAlign w:val="center"/>
          </w:tcPr>
          <w:p w14:paraId="1508FD5E" w14:textId="1F3449B5" w:rsidR="00E33227" w:rsidRPr="00E6777E" w:rsidRDefault="00E33227" w:rsidP="00E33227">
            <w:pPr>
              <w:spacing w:after="0" w:line="240" w:lineRule="auto"/>
              <w:jc w:val="center"/>
            </w:pPr>
            <w:r w:rsidRPr="00E6777E">
              <w:rPr>
                <w:w w:val="99"/>
              </w:rPr>
              <w:t>2</w:t>
            </w:r>
            <w:r>
              <w:rPr>
                <w:w w:val="99"/>
              </w:rPr>
              <w:t xml:space="preserve"> (LOW)</w:t>
            </w:r>
          </w:p>
        </w:tc>
        <w:tc>
          <w:tcPr>
            <w:tcW w:w="1446" w:type="dxa"/>
            <w:shd w:val="clear" w:color="auto" w:fill="92D050"/>
            <w:vAlign w:val="center"/>
          </w:tcPr>
          <w:p w14:paraId="14ECAFEE" w14:textId="33FC64BE" w:rsidR="00E33227" w:rsidRPr="00E6777E" w:rsidRDefault="00E33227" w:rsidP="00E33227">
            <w:pPr>
              <w:spacing w:after="0" w:line="240" w:lineRule="auto"/>
              <w:jc w:val="center"/>
            </w:pPr>
            <w:r w:rsidRPr="00E6777E">
              <w:rPr>
                <w:w w:val="99"/>
              </w:rPr>
              <w:t>4</w:t>
            </w:r>
            <w:r>
              <w:rPr>
                <w:w w:val="99"/>
              </w:rPr>
              <w:t xml:space="preserve"> (LOW)</w:t>
            </w:r>
          </w:p>
        </w:tc>
        <w:tc>
          <w:tcPr>
            <w:tcW w:w="1446" w:type="dxa"/>
            <w:shd w:val="clear" w:color="auto" w:fill="FFFF00"/>
            <w:vAlign w:val="center"/>
          </w:tcPr>
          <w:p w14:paraId="5725FA74" w14:textId="74B1AB81" w:rsidR="00E33227" w:rsidRPr="00E6777E" w:rsidRDefault="00E33227" w:rsidP="00E33227">
            <w:pPr>
              <w:spacing w:after="0" w:line="240" w:lineRule="auto"/>
              <w:jc w:val="center"/>
            </w:pPr>
            <w:r w:rsidRPr="00E6777E">
              <w:rPr>
                <w:w w:val="99"/>
              </w:rPr>
              <w:t>6</w:t>
            </w:r>
            <w:r>
              <w:rPr>
                <w:w w:val="99"/>
              </w:rPr>
              <w:t xml:space="preserve"> (MEDIUM)</w:t>
            </w:r>
          </w:p>
        </w:tc>
        <w:tc>
          <w:tcPr>
            <w:tcW w:w="1446" w:type="dxa"/>
            <w:shd w:val="clear" w:color="auto" w:fill="FFFF00"/>
            <w:vAlign w:val="center"/>
          </w:tcPr>
          <w:p w14:paraId="6706086F" w14:textId="5F0D75F0" w:rsidR="00E33227" w:rsidRPr="00E6777E" w:rsidRDefault="00E33227" w:rsidP="00E33227">
            <w:pPr>
              <w:spacing w:after="0" w:line="240" w:lineRule="auto"/>
              <w:jc w:val="center"/>
            </w:pPr>
            <w:r w:rsidRPr="00E6777E">
              <w:rPr>
                <w:w w:val="99"/>
              </w:rPr>
              <w:t>8</w:t>
            </w:r>
            <w:r>
              <w:rPr>
                <w:w w:val="99"/>
              </w:rPr>
              <w:t xml:space="preserve"> (MEDIUM)</w:t>
            </w:r>
          </w:p>
        </w:tc>
        <w:tc>
          <w:tcPr>
            <w:tcW w:w="1446" w:type="dxa"/>
            <w:shd w:val="clear" w:color="auto" w:fill="FFFF00"/>
            <w:vAlign w:val="center"/>
          </w:tcPr>
          <w:p w14:paraId="6D7E716C" w14:textId="66D48EFB" w:rsidR="00E33227" w:rsidRPr="00E6777E" w:rsidRDefault="00E33227" w:rsidP="00E33227">
            <w:pPr>
              <w:spacing w:after="0" w:line="240" w:lineRule="auto"/>
              <w:jc w:val="center"/>
            </w:pPr>
            <w:r w:rsidRPr="00E6777E">
              <w:t>10</w:t>
            </w:r>
            <w:r>
              <w:t xml:space="preserve"> (</w:t>
            </w:r>
            <w:r w:rsidR="000577B3">
              <w:t>MEDIUM</w:t>
            </w:r>
            <w:r>
              <w:t>)</w:t>
            </w:r>
          </w:p>
        </w:tc>
      </w:tr>
      <w:tr w:rsidR="00E33227" w:rsidRPr="00E6777E" w14:paraId="082D110F" w14:textId="77777777" w:rsidTr="0085430A">
        <w:trPr>
          <w:trHeight w:val="451"/>
        </w:trPr>
        <w:tc>
          <w:tcPr>
            <w:tcW w:w="826" w:type="dxa"/>
            <w:vMerge/>
            <w:textDirection w:val="btLr"/>
            <w:vAlign w:val="center"/>
          </w:tcPr>
          <w:p w14:paraId="064A542F" w14:textId="77777777" w:rsidR="00E33227" w:rsidRPr="00E6777E" w:rsidRDefault="00E33227" w:rsidP="00E33227">
            <w:pPr>
              <w:spacing w:after="0" w:line="240" w:lineRule="auto"/>
              <w:jc w:val="center"/>
            </w:pPr>
          </w:p>
        </w:tc>
        <w:tc>
          <w:tcPr>
            <w:tcW w:w="875" w:type="dxa"/>
            <w:vAlign w:val="center"/>
          </w:tcPr>
          <w:p w14:paraId="6C8C4D30" w14:textId="77777777" w:rsidR="00E33227" w:rsidRPr="00E6777E" w:rsidRDefault="00E33227" w:rsidP="00E33227">
            <w:pPr>
              <w:spacing w:after="0" w:line="240" w:lineRule="auto"/>
              <w:jc w:val="center"/>
              <w:rPr>
                <w:b/>
              </w:rPr>
            </w:pPr>
            <w:r w:rsidRPr="00E6777E">
              <w:rPr>
                <w:b/>
                <w:w w:val="99"/>
              </w:rPr>
              <w:t>3</w:t>
            </w:r>
          </w:p>
        </w:tc>
        <w:tc>
          <w:tcPr>
            <w:tcW w:w="1446" w:type="dxa"/>
            <w:shd w:val="clear" w:color="auto" w:fill="92D050"/>
            <w:vAlign w:val="center"/>
          </w:tcPr>
          <w:p w14:paraId="5D7A1A87" w14:textId="580250AA" w:rsidR="00E33227" w:rsidRPr="00E6777E" w:rsidRDefault="00E33227" w:rsidP="00E33227">
            <w:pPr>
              <w:spacing w:after="0" w:line="240" w:lineRule="auto"/>
              <w:jc w:val="center"/>
            </w:pPr>
            <w:r w:rsidRPr="00E6777E">
              <w:rPr>
                <w:w w:val="99"/>
              </w:rPr>
              <w:t>3</w:t>
            </w:r>
            <w:r>
              <w:rPr>
                <w:w w:val="99"/>
              </w:rPr>
              <w:t xml:space="preserve"> (LOW)</w:t>
            </w:r>
          </w:p>
        </w:tc>
        <w:tc>
          <w:tcPr>
            <w:tcW w:w="1446" w:type="dxa"/>
            <w:shd w:val="clear" w:color="auto" w:fill="FFFF00"/>
            <w:vAlign w:val="center"/>
          </w:tcPr>
          <w:p w14:paraId="3058A30E" w14:textId="40C2CDEE" w:rsidR="00E33227" w:rsidRPr="00E6777E" w:rsidRDefault="00E33227" w:rsidP="00E33227">
            <w:pPr>
              <w:spacing w:after="0" w:line="240" w:lineRule="auto"/>
              <w:jc w:val="center"/>
            </w:pPr>
            <w:r w:rsidRPr="00E6777E">
              <w:rPr>
                <w:w w:val="99"/>
              </w:rPr>
              <w:t>6</w:t>
            </w:r>
            <w:r>
              <w:rPr>
                <w:w w:val="99"/>
              </w:rPr>
              <w:t xml:space="preserve"> (MEDIUM)</w:t>
            </w:r>
          </w:p>
        </w:tc>
        <w:tc>
          <w:tcPr>
            <w:tcW w:w="1446" w:type="dxa"/>
            <w:shd w:val="clear" w:color="auto" w:fill="FFFF00"/>
            <w:vAlign w:val="center"/>
          </w:tcPr>
          <w:p w14:paraId="53742D25" w14:textId="6ADDA2CF" w:rsidR="00E33227" w:rsidRPr="00E6777E" w:rsidRDefault="00E33227" w:rsidP="00E33227">
            <w:pPr>
              <w:spacing w:after="0" w:line="240" w:lineRule="auto"/>
              <w:jc w:val="center"/>
            </w:pPr>
            <w:r w:rsidRPr="00E6777E">
              <w:rPr>
                <w:w w:val="99"/>
              </w:rPr>
              <w:t>9</w:t>
            </w:r>
            <w:r>
              <w:rPr>
                <w:w w:val="99"/>
              </w:rPr>
              <w:t xml:space="preserve"> (MEDIUM)</w:t>
            </w:r>
          </w:p>
        </w:tc>
        <w:tc>
          <w:tcPr>
            <w:tcW w:w="1446" w:type="dxa"/>
            <w:shd w:val="clear" w:color="auto" w:fill="FFFF00"/>
            <w:vAlign w:val="center"/>
          </w:tcPr>
          <w:p w14:paraId="2AF4D536" w14:textId="294B35E2" w:rsidR="00E33227" w:rsidRPr="00E6777E" w:rsidRDefault="00E33227" w:rsidP="00E33227">
            <w:pPr>
              <w:spacing w:after="0" w:line="240" w:lineRule="auto"/>
              <w:jc w:val="center"/>
            </w:pPr>
            <w:r w:rsidRPr="00E6777E">
              <w:t>12</w:t>
            </w:r>
            <w:r>
              <w:t xml:space="preserve"> (</w:t>
            </w:r>
            <w:r w:rsidR="000577B3">
              <w:t>MEDIUM</w:t>
            </w:r>
            <w:r>
              <w:t>)</w:t>
            </w:r>
          </w:p>
        </w:tc>
        <w:tc>
          <w:tcPr>
            <w:tcW w:w="1446" w:type="dxa"/>
            <w:shd w:val="clear" w:color="auto" w:fill="FF0000"/>
            <w:vAlign w:val="center"/>
          </w:tcPr>
          <w:p w14:paraId="0DA43A42" w14:textId="5937E029" w:rsidR="00E33227" w:rsidRPr="00E6777E" w:rsidRDefault="00E33227" w:rsidP="00E33227">
            <w:pPr>
              <w:spacing w:after="0" w:line="240" w:lineRule="auto"/>
              <w:jc w:val="center"/>
            </w:pPr>
            <w:r w:rsidRPr="00E6777E">
              <w:t>15</w:t>
            </w:r>
            <w:r>
              <w:t xml:space="preserve"> (HIGH)</w:t>
            </w:r>
          </w:p>
        </w:tc>
      </w:tr>
      <w:tr w:rsidR="00E33227" w:rsidRPr="00E6777E" w14:paraId="5052FE74" w14:textId="77777777" w:rsidTr="0085430A">
        <w:trPr>
          <w:trHeight w:val="451"/>
        </w:trPr>
        <w:tc>
          <w:tcPr>
            <w:tcW w:w="826" w:type="dxa"/>
            <w:vMerge/>
            <w:textDirection w:val="btLr"/>
            <w:vAlign w:val="center"/>
          </w:tcPr>
          <w:p w14:paraId="44C000AC" w14:textId="77777777" w:rsidR="00E33227" w:rsidRPr="00E6777E" w:rsidRDefault="00E33227" w:rsidP="00E33227">
            <w:pPr>
              <w:spacing w:after="0" w:line="240" w:lineRule="auto"/>
              <w:jc w:val="center"/>
            </w:pPr>
          </w:p>
        </w:tc>
        <w:tc>
          <w:tcPr>
            <w:tcW w:w="875" w:type="dxa"/>
            <w:vAlign w:val="center"/>
          </w:tcPr>
          <w:p w14:paraId="14E6A712" w14:textId="69968EE7" w:rsidR="00E33227" w:rsidRPr="00E6777E" w:rsidRDefault="00E33227" w:rsidP="00E33227">
            <w:pPr>
              <w:spacing w:after="0" w:line="240" w:lineRule="auto"/>
              <w:jc w:val="center"/>
              <w:rPr>
                <w:b/>
                <w:w w:val="99"/>
              </w:rPr>
            </w:pPr>
            <w:r w:rsidRPr="00E6777E">
              <w:rPr>
                <w:b/>
                <w:w w:val="99"/>
              </w:rPr>
              <w:t>4</w:t>
            </w:r>
          </w:p>
        </w:tc>
        <w:tc>
          <w:tcPr>
            <w:tcW w:w="1446" w:type="dxa"/>
            <w:shd w:val="clear" w:color="auto" w:fill="92D050"/>
            <w:vAlign w:val="center"/>
          </w:tcPr>
          <w:p w14:paraId="6FA4162F" w14:textId="4FF510FA" w:rsidR="00E33227" w:rsidRPr="00E6777E" w:rsidRDefault="00E33227" w:rsidP="00E33227">
            <w:pPr>
              <w:spacing w:after="0" w:line="240" w:lineRule="auto"/>
              <w:jc w:val="center"/>
              <w:rPr>
                <w:w w:val="99"/>
              </w:rPr>
            </w:pPr>
            <w:r w:rsidRPr="00E6777E">
              <w:rPr>
                <w:w w:val="99"/>
              </w:rPr>
              <w:t>4</w:t>
            </w:r>
            <w:r>
              <w:rPr>
                <w:w w:val="99"/>
              </w:rPr>
              <w:t xml:space="preserve"> (LOW)</w:t>
            </w:r>
          </w:p>
        </w:tc>
        <w:tc>
          <w:tcPr>
            <w:tcW w:w="1446" w:type="dxa"/>
            <w:shd w:val="clear" w:color="auto" w:fill="FFFF00"/>
            <w:vAlign w:val="center"/>
          </w:tcPr>
          <w:p w14:paraId="04F3EF35" w14:textId="07993797" w:rsidR="00E33227" w:rsidRPr="00E6777E" w:rsidRDefault="00E33227" w:rsidP="00E33227">
            <w:pPr>
              <w:spacing w:after="0" w:line="240" w:lineRule="auto"/>
              <w:jc w:val="center"/>
              <w:rPr>
                <w:w w:val="99"/>
              </w:rPr>
            </w:pPr>
            <w:r w:rsidRPr="00E6777E">
              <w:rPr>
                <w:w w:val="99"/>
              </w:rPr>
              <w:t>8</w:t>
            </w:r>
            <w:r>
              <w:rPr>
                <w:w w:val="99"/>
              </w:rPr>
              <w:t xml:space="preserve"> (MEDIUM)</w:t>
            </w:r>
          </w:p>
        </w:tc>
        <w:tc>
          <w:tcPr>
            <w:tcW w:w="1446" w:type="dxa"/>
            <w:shd w:val="clear" w:color="auto" w:fill="FFFF00"/>
            <w:vAlign w:val="center"/>
          </w:tcPr>
          <w:p w14:paraId="1D2C678C" w14:textId="1C0938D3" w:rsidR="00E33227" w:rsidRPr="00E6777E" w:rsidRDefault="00E33227" w:rsidP="00E33227">
            <w:pPr>
              <w:spacing w:after="0" w:line="240" w:lineRule="auto"/>
              <w:jc w:val="center"/>
              <w:rPr>
                <w:w w:val="99"/>
              </w:rPr>
            </w:pPr>
            <w:r w:rsidRPr="00E6777E">
              <w:t>12</w:t>
            </w:r>
            <w:r>
              <w:t xml:space="preserve"> (</w:t>
            </w:r>
            <w:r w:rsidR="000577B3">
              <w:t>MEDIUM</w:t>
            </w:r>
            <w:r>
              <w:t>)</w:t>
            </w:r>
          </w:p>
        </w:tc>
        <w:tc>
          <w:tcPr>
            <w:tcW w:w="1446" w:type="dxa"/>
            <w:shd w:val="clear" w:color="auto" w:fill="FF0000"/>
            <w:vAlign w:val="center"/>
          </w:tcPr>
          <w:p w14:paraId="4B8D2E8A" w14:textId="556D891B" w:rsidR="00E33227" w:rsidRPr="00E6777E" w:rsidRDefault="00E33227" w:rsidP="00E33227">
            <w:pPr>
              <w:spacing w:after="0" w:line="240" w:lineRule="auto"/>
              <w:jc w:val="center"/>
            </w:pPr>
            <w:r w:rsidRPr="00E6777E">
              <w:t>16</w:t>
            </w:r>
            <w:r>
              <w:t xml:space="preserve"> (HIGH)</w:t>
            </w:r>
          </w:p>
        </w:tc>
        <w:tc>
          <w:tcPr>
            <w:tcW w:w="1446" w:type="dxa"/>
            <w:shd w:val="clear" w:color="auto" w:fill="FF0000"/>
            <w:vAlign w:val="center"/>
          </w:tcPr>
          <w:p w14:paraId="023F4552" w14:textId="6631C4F2" w:rsidR="00E33227" w:rsidRPr="00E6777E" w:rsidRDefault="00E33227" w:rsidP="00E33227">
            <w:pPr>
              <w:spacing w:after="0" w:line="240" w:lineRule="auto"/>
              <w:jc w:val="center"/>
            </w:pPr>
            <w:r w:rsidRPr="00E6777E">
              <w:t>20</w:t>
            </w:r>
            <w:r>
              <w:t xml:space="preserve"> (HIGH)</w:t>
            </w:r>
          </w:p>
        </w:tc>
      </w:tr>
      <w:tr w:rsidR="00E33227" w:rsidRPr="00E6777E" w14:paraId="7A2F25CC" w14:textId="77777777" w:rsidTr="0085430A">
        <w:trPr>
          <w:trHeight w:val="451"/>
        </w:trPr>
        <w:tc>
          <w:tcPr>
            <w:tcW w:w="826" w:type="dxa"/>
            <w:vMerge/>
            <w:textDirection w:val="btLr"/>
            <w:vAlign w:val="center"/>
          </w:tcPr>
          <w:p w14:paraId="0FF599E8" w14:textId="77777777" w:rsidR="00E33227" w:rsidRPr="00E6777E" w:rsidRDefault="00E33227" w:rsidP="00E33227">
            <w:pPr>
              <w:spacing w:after="0" w:line="240" w:lineRule="auto"/>
              <w:jc w:val="center"/>
            </w:pPr>
          </w:p>
        </w:tc>
        <w:tc>
          <w:tcPr>
            <w:tcW w:w="875" w:type="dxa"/>
            <w:vAlign w:val="center"/>
          </w:tcPr>
          <w:p w14:paraId="5C1E0C15" w14:textId="7EB47C52" w:rsidR="00E33227" w:rsidRPr="00E6777E" w:rsidRDefault="00E33227" w:rsidP="00E33227">
            <w:pPr>
              <w:spacing w:after="0" w:line="240" w:lineRule="auto"/>
              <w:jc w:val="center"/>
              <w:rPr>
                <w:b/>
                <w:w w:val="99"/>
              </w:rPr>
            </w:pPr>
            <w:r w:rsidRPr="00E6777E">
              <w:rPr>
                <w:b/>
                <w:w w:val="99"/>
              </w:rPr>
              <w:t>5</w:t>
            </w:r>
          </w:p>
        </w:tc>
        <w:tc>
          <w:tcPr>
            <w:tcW w:w="1446" w:type="dxa"/>
            <w:shd w:val="clear" w:color="auto" w:fill="FFFF00"/>
            <w:vAlign w:val="center"/>
          </w:tcPr>
          <w:p w14:paraId="07C26151" w14:textId="6D125251" w:rsidR="00E33227" w:rsidRPr="00E6777E" w:rsidRDefault="00E33227" w:rsidP="00E33227">
            <w:pPr>
              <w:spacing w:after="0" w:line="240" w:lineRule="auto"/>
              <w:jc w:val="center"/>
              <w:rPr>
                <w:w w:val="99"/>
              </w:rPr>
            </w:pPr>
            <w:r w:rsidRPr="00E6777E">
              <w:rPr>
                <w:w w:val="99"/>
              </w:rPr>
              <w:t>5</w:t>
            </w:r>
            <w:r>
              <w:rPr>
                <w:w w:val="99"/>
              </w:rPr>
              <w:t xml:space="preserve"> (MEDIUM)</w:t>
            </w:r>
          </w:p>
        </w:tc>
        <w:tc>
          <w:tcPr>
            <w:tcW w:w="1446" w:type="dxa"/>
            <w:shd w:val="clear" w:color="auto" w:fill="FFFF00"/>
            <w:vAlign w:val="center"/>
          </w:tcPr>
          <w:p w14:paraId="471C122E" w14:textId="672D1C1D" w:rsidR="00E33227" w:rsidRPr="00E6777E" w:rsidRDefault="00E33227" w:rsidP="00E33227">
            <w:pPr>
              <w:spacing w:after="0" w:line="240" w:lineRule="auto"/>
              <w:jc w:val="center"/>
              <w:rPr>
                <w:w w:val="99"/>
              </w:rPr>
            </w:pPr>
            <w:r w:rsidRPr="00E6777E">
              <w:t>10</w:t>
            </w:r>
            <w:r>
              <w:t xml:space="preserve"> (</w:t>
            </w:r>
            <w:r w:rsidR="000577B3">
              <w:t>MEDIUM</w:t>
            </w:r>
            <w:r>
              <w:t>)</w:t>
            </w:r>
          </w:p>
        </w:tc>
        <w:tc>
          <w:tcPr>
            <w:tcW w:w="1446" w:type="dxa"/>
            <w:shd w:val="clear" w:color="auto" w:fill="FF0000"/>
            <w:vAlign w:val="center"/>
          </w:tcPr>
          <w:p w14:paraId="1AF23991" w14:textId="05C4127B" w:rsidR="00E33227" w:rsidRPr="00E6777E" w:rsidRDefault="00E33227" w:rsidP="00E33227">
            <w:pPr>
              <w:spacing w:after="0" w:line="240" w:lineRule="auto"/>
              <w:jc w:val="center"/>
              <w:rPr>
                <w:w w:val="99"/>
              </w:rPr>
            </w:pPr>
            <w:r w:rsidRPr="00E6777E">
              <w:t>15</w:t>
            </w:r>
            <w:r>
              <w:t xml:space="preserve"> (HIGH)</w:t>
            </w:r>
          </w:p>
        </w:tc>
        <w:tc>
          <w:tcPr>
            <w:tcW w:w="1446" w:type="dxa"/>
            <w:shd w:val="clear" w:color="auto" w:fill="FF0000"/>
            <w:vAlign w:val="center"/>
          </w:tcPr>
          <w:p w14:paraId="599734C2" w14:textId="4E05B35A" w:rsidR="00E33227" w:rsidRPr="00E6777E" w:rsidRDefault="00E33227" w:rsidP="00E33227">
            <w:pPr>
              <w:spacing w:after="0" w:line="240" w:lineRule="auto"/>
              <w:jc w:val="center"/>
              <w:rPr>
                <w:w w:val="99"/>
              </w:rPr>
            </w:pPr>
            <w:r w:rsidRPr="00E6777E">
              <w:t>20</w:t>
            </w:r>
            <w:r>
              <w:t xml:space="preserve"> (HIGH)</w:t>
            </w:r>
          </w:p>
        </w:tc>
        <w:tc>
          <w:tcPr>
            <w:tcW w:w="1446" w:type="dxa"/>
            <w:shd w:val="clear" w:color="auto" w:fill="FF0000"/>
            <w:vAlign w:val="center"/>
          </w:tcPr>
          <w:p w14:paraId="18CFE273" w14:textId="4BBE6627" w:rsidR="00E33227" w:rsidRPr="00E6777E" w:rsidRDefault="00E33227" w:rsidP="00E33227">
            <w:pPr>
              <w:spacing w:after="0" w:line="240" w:lineRule="auto"/>
              <w:jc w:val="center"/>
            </w:pPr>
            <w:r w:rsidRPr="00E6777E">
              <w:t>25</w:t>
            </w:r>
            <w:r>
              <w:t xml:space="preserve"> (HIGH)</w:t>
            </w:r>
          </w:p>
        </w:tc>
      </w:tr>
    </w:tbl>
    <w:p w14:paraId="700431E6" w14:textId="77777777" w:rsidR="00A062EE" w:rsidRDefault="00A062EE" w:rsidP="00FA5C43"/>
    <w:p w14:paraId="68F0C84D" w14:textId="77777777" w:rsidR="00AE54D2" w:rsidRDefault="00AE54D2" w:rsidP="00FA5C43">
      <w:pPr>
        <w:rPr>
          <w:rFonts w:cstheme="minorHAnsi"/>
          <w:b/>
        </w:rPr>
      </w:pPr>
      <w:r w:rsidRPr="001648C8">
        <w:rPr>
          <w:rFonts w:cstheme="minorHAnsi"/>
          <w:b/>
        </w:rPr>
        <w:t>Severity:</w:t>
      </w:r>
    </w:p>
    <w:p w14:paraId="7693AC83" w14:textId="1689EEAF" w:rsidR="00AE54D2" w:rsidRPr="001648C8" w:rsidRDefault="00AE54D2" w:rsidP="00AE54D2">
      <w:pPr>
        <w:pStyle w:val="TableParagraph"/>
        <w:numPr>
          <w:ilvl w:val="0"/>
          <w:numId w:val="3"/>
        </w:numPr>
        <w:tabs>
          <w:tab w:val="left" w:pos="543"/>
        </w:tabs>
        <w:spacing w:line="197" w:lineRule="exact"/>
        <w:rPr>
          <w:rFonts w:asciiTheme="minorHAnsi" w:hAnsiTheme="minorHAnsi" w:cstheme="minorHAnsi"/>
        </w:rPr>
      </w:pPr>
      <w:r w:rsidRPr="001648C8">
        <w:rPr>
          <w:rFonts w:asciiTheme="minorHAnsi" w:hAnsiTheme="minorHAnsi" w:cstheme="minorHAnsi"/>
        </w:rPr>
        <w:t>Slight</w:t>
      </w:r>
      <w:r w:rsidR="00337162">
        <w:rPr>
          <w:rFonts w:asciiTheme="minorHAnsi" w:hAnsiTheme="minorHAnsi" w:cstheme="minorHAnsi"/>
        </w:rPr>
        <w:t>/minor</w:t>
      </w:r>
      <w:r w:rsidRPr="001648C8">
        <w:rPr>
          <w:rFonts w:asciiTheme="minorHAnsi" w:hAnsiTheme="minorHAnsi" w:cstheme="minorHAnsi"/>
        </w:rPr>
        <w:t>.</w:t>
      </w:r>
    </w:p>
    <w:p w14:paraId="1A4E04EB" w14:textId="593491F4" w:rsidR="00AE54D2" w:rsidRPr="001648C8" w:rsidRDefault="00AE54D2" w:rsidP="00AE54D2">
      <w:pPr>
        <w:pStyle w:val="TableParagraph"/>
        <w:numPr>
          <w:ilvl w:val="0"/>
          <w:numId w:val="3"/>
        </w:numPr>
        <w:tabs>
          <w:tab w:val="left" w:pos="543"/>
        </w:tabs>
        <w:spacing w:line="197" w:lineRule="exact"/>
        <w:ind w:hanging="289"/>
        <w:rPr>
          <w:rFonts w:asciiTheme="minorHAnsi" w:hAnsiTheme="minorHAnsi" w:cstheme="minorHAnsi"/>
        </w:rPr>
      </w:pPr>
      <w:r w:rsidRPr="001648C8">
        <w:rPr>
          <w:rFonts w:asciiTheme="minorHAnsi" w:hAnsiTheme="minorHAnsi" w:cstheme="minorHAnsi"/>
        </w:rPr>
        <w:t>Moderate.</w:t>
      </w:r>
    </w:p>
    <w:p w14:paraId="3E1F716E" w14:textId="44A966E0" w:rsidR="00AE54D2" w:rsidRPr="001648C8" w:rsidRDefault="00AE54D2" w:rsidP="00AE54D2">
      <w:pPr>
        <w:pStyle w:val="TableParagraph"/>
        <w:numPr>
          <w:ilvl w:val="0"/>
          <w:numId w:val="3"/>
        </w:numPr>
        <w:tabs>
          <w:tab w:val="left" w:pos="543"/>
        </w:tabs>
        <w:spacing w:line="197" w:lineRule="exact"/>
        <w:ind w:hanging="289"/>
        <w:rPr>
          <w:rFonts w:asciiTheme="minorHAnsi" w:hAnsiTheme="minorHAnsi" w:cstheme="minorHAnsi"/>
        </w:rPr>
      </w:pPr>
      <w:r w:rsidRPr="001648C8">
        <w:rPr>
          <w:rFonts w:asciiTheme="minorHAnsi" w:hAnsiTheme="minorHAnsi" w:cstheme="minorHAnsi"/>
        </w:rPr>
        <w:t>S</w:t>
      </w:r>
      <w:r w:rsidR="00337162">
        <w:rPr>
          <w:rFonts w:asciiTheme="minorHAnsi" w:hAnsiTheme="minorHAnsi" w:cstheme="minorHAnsi"/>
        </w:rPr>
        <w:t>ignificant</w:t>
      </w:r>
      <w:r w:rsidRPr="001648C8">
        <w:rPr>
          <w:rFonts w:asciiTheme="minorHAnsi" w:hAnsiTheme="minorHAnsi" w:cstheme="minorHAnsi"/>
        </w:rPr>
        <w:t>.</w:t>
      </w:r>
    </w:p>
    <w:p w14:paraId="574F5C6E" w14:textId="6F8262E9" w:rsidR="00AE54D2" w:rsidRPr="001648C8" w:rsidRDefault="00AE54D2" w:rsidP="00AE54D2">
      <w:pPr>
        <w:pStyle w:val="TableParagraph"/>
        <w:numPr>
          <w:ilvl w:val="0"/>
          <w:numId w:val="3"/>
        </w:numPr>
        <w:tabs>
          <w:tab w:val="left" w:pos="543"/>
        </w:tabs>
        <w:spacing w:line="197" w:lineRule="exact"/>
        <w:ind w:hanging="289"/>
        <w:rPr>
          <w:rFonts w:asciiTheme="minorHAnsi" w:hAnsiTheme="minorHAnsi" w:cstheme="minorHAnsi"/>
        </w:rPr>
      </w:pPr>
      <w:r w:rsidRPr="001648C8">
        <w:rPr>
          <w:rFonts w:asciiTheme="minorHAnsi" w:hAnsiTheme="minorHAnsi" w:cstheme="minorHAnsi"/>
        </w:rPr>
        <w:t>Major.</w:t>
      </w:r>
    </w:p>
    <w:p w14:paraId="5004F326" w14:textId="06C2424E" w:rsidR="00AE54D2" w:rsidRPr="001648C8" w:rsidRDefault="00AE54D2" w:rsidP="007F3AEB">
      <w:pPr>
        <w:pStyle w:val="ListParagraph"/>
        <w:numPr>
          <w:ilvl w:val="0"/>
          <w:numId w:val="3"/>
        </w:numPr>
        <w:spacing w:after="160" w:line="240" w:lineRule="auto"/>
        <w:ind w:right="-20"/>
        <w:rPr>
          <w:rFonts w:cstheme="minorHAnsi"/>
        </w:rPr>
      </w:pPr>
      <w:r w:rsidRPr="001648C8">
        <w:rPr>
          <w:rFonts w:cstheme="minorHAnsi"/>
        </w:rPr>
        <w:t>Catastrophic.</w:t>
      </w:r>
    </w:p>
    <w:p w14:paraId="247DFA40" w14:textId="56C6A19C" w:rsidR="00C27544" w:rsidRPr="001648C8" w:rsidRDefault="00C27544" w:rsidP="00C27544">
      <w:pPr>
        <w:pStyle w:val="TableParagraph"/>
        <w:spacing w:before="79"/>
        <w:ind w:left="20"/>
        <w:rPr>
          <w:rFonts w:asciiTheme="minorHAnsi" w:hAnsiTheme="minorHAnsi" w:cstheme="minorHAnsi"/>
        </w:rPr>
      </w:pPr>
      <w:r w:rsidRPr="001648C8">
        <w:rPr>
          <w:rFonts w:asciiTheme="minorHAnsi" w:hAnsiTheme="minorHAnsi" w:cstheme="minorHAnsi"/>
          <w:b/>
        </w:rPr>
        <w:t>LOW (1-</w:t>
      </w:r>
      <w:r w:rsidR="00A76CBB">
        <w:rPr>
          <w:rFonts w:asciiTheme="minorHAnsi" w:hAnsiTheme="minorHAnsi" w:cstheme="minorHAnsi"/>
          <w:b/>
        </w:rPr>
        <w:t>4</w:t>
      </w:r>
      <w:r w:rsidRPr="001648C8">
        <w:rPr>
          <w:rFonts w:asciiTheme="minorHAnsi" w:hAnsiTheme="minorHAnsi" w:cstheme="minorHAnsi"/>
          <w:b/>
        </w:rPr>
        <w:t xml:space="preserve">): </w:t>
      </w:r>
      <w:r w:rsidRPr="001648C8">
        <w:rPr>
          <w:rFonts w:asciiTheme="minorHAnsi" w:hAnsiTheme="minorHAnsi" w:cstheme="minorHAnsi"/>
        </w:rPr>
        <w:t xml:space="preserve">May be </w:t>
      </w:r>
      <w:proofErr w:type="gramStart"/>
      <w:r w:rsidRPr="001648C8">
        <w:rPr>
          <w:rFonts w:asciiTheme="minorHAnsi" w:hAnsiTheme="minorHAnsi" w:cstheme="minorHAnsi"/>
        </w:rPr>
        <w:t>ignored</w:t>
      </w:r>
      <w:proofErr w:type="gramEnd"/>
    </w:p>
    <w:p w14:paraId="7447E8BC" w14:textId="414B63EF" w:rsidR="00C27544" w:rsidRPr="001648C8" w:rsidRDefault="00C27544" w:rsidP="00C27544">
      <w:pPr>
        <w:pStyle w:val="TableParagraph"/>
        <w:spacing w:before="1"/>
        <w:ind w:left="10"/>
        <w:rPr>
          <w:rFonts w:asciiTheme="minorHAnsi" w:hAnsiTheme="minorHAnsi" w:cstheme="minorHAnsi"/>
        </w:rPr>
      </w:pPr>
      <w:r w:rsidRPr="001648C8">
        <w:rPr>
          <w:rFonts w:asciiTheme="minorHAnsi" w:hAnsiTheme="minorHAnsi" w:cstheme="minorHAnsi"/>
          <w:b/>
        </w:rPr>
        <w:t>MEDIUM (5-</w:t>
      </w:r>
      <w:r w:rsidR="00103CA2">
        <w:rPr>
          <w:rFonts w:asciiTheme="minorHAnsi" w:hAnsiTheme="minorHAnsi" w:cstheme="minorHAnsi"/>
          <w:b/>
        </w:rPr>
        <w:t>12</w:t>
      </w:r>
      <w:r w:rsidRPr="001648C8">
        <w:rPr>
          <w:rFonts w:asciiTheme="minorHAnsi" w:hAnsiTheme="minorHAnsi" w:cstheme="minorHAnsi"/>
          <w:b/>
        </w:rPr>
        <w:t xml:space="preserve">): </w:t>
      </w:r>
      <w:r w:rsidRPr="001648C8">
        <w:rPr>
          <w:rFonts w:asciiTheme="minorHAnsi" w:hAnsiTheme="minorHAnsi" w:cstheme="minorHAnsi"/>
        </w:rPr>
        <w:t xml:space="preserve">Control measures </w:t>
      </w:r>
      <w:proofErr w:type="gramStart"/>
      <w:r w:rsidR="000E7F3A">
        <w:rPr>
          <w:rFonts w:asciiTheme="minorHAnsi" w:hAnsiTheme="minorHAnsi" w:cstheme="minorHAnsi"/>
        </w:rPr>
        <w:t>r</w:t>
      </w:r>
      <w:r w:rsidRPr="001648C8">
        <w:rPr>
          <w:rFonts w:asciiTheme="minorHAnsi" w:hAnsiTheme="minorHAnsi" w:cstheme="minorHAnsi"/>
        </w:rPr>
        <w:t>equired</w:t>
      </w:r>
      <w:proofErr w:type="gramEnd"/>
    </w:p>
    <w:p w14:paraId="23057C4A" w14:textId="7BA3DF29" w:rsidR="00C27544" w:rsidRPr="001648C8" w:rsidRDefault="00C27544" w:rsidP="00C27544">
      <w:pPr>
        <w:spacing w:after="160" w:line="240" w:lineRule="auto"/>
        <w:ind w:right="-20"/>
        <w:rPr>
          <w:rFonts w:cs="Arial"/>
          <w:spacing w:val="-1"/>
        </w:rPr>
      </w:pPr>
      <w:r w:rsidRPr="001648C8">
        <w:rPr>
          <w:rFonts w:cstheme="minorHAnsi"/>
          <w:b/>
        </w:rPr>
        <w:t>HIGH (1</w:t>
      </w:r>
      <w:r w:rsidR="000577B3">
        <w:rPr>
          <w:rFonts w:cstheme="minorHAnsi"/>
          <w:b/>
        </w:rPr>
        <w:t>3</w:t>
      </w:r>
      <w:r w:rsidRPr="001648C8">
        <w:rPr>
          <w:rFonts w:cstheme="minorHAnsi"/>
          <w:b/>
        </w:rPr>
        <w:t xml:space="preserve">+): </w:t>
      </w:r>
      <w:r w:rsidR="00577BB3" w:rsidRPr="00577BB3">
        <w:rPr>
          <w:rFonts w:cstheme="minorHAnsi"/>
          <w:bCs/>
        </w:rPr>
        <w:t>Stop or</w:t>
      </w:r>
      <w:r w:rsidR="00577BB3">
        <w:rPr>
          <w:rFonts w:cstheme="minorHAnsi"/>
          <w:b/>
        </w:rPr>
        <w:t xml:space="preserve"> </w:t>
      </w:r>
      <w:r w:rsidRPr="001648C8">
        <w:rPr>
          <w:rFonts w:cstheme="minorHAnsi"/>
        </w:rPr>
        <w:t xml:space="preserve">Design out if </w:t>
      </w:r>
      <w:proofErr w:type="gramStart"/>
      <w:r w:rsidRPr="001648C8">
        <w:rPr>
          <w:rFonts w:cstheme="minorHAnsi"/>
        </w:rPr>
        <w:t>possible</w:t>
      </w:r>
      <w:proofErr w:type="gramEnd"/>
    </w:p>
    <w:p w14:paraId="60B694E0" w14:textId="77777777" w:rsidR="00E07C4C" w:rsidRPr="001648C8" w:rsidRDefault="00E07C4C" w:rsidP="006C2D14">
      <w:pPr>
        <w:spacing w:after="160" w:line="240" w:lineRule="auto"/>
        <w:ind w:right="-20"/>
        <w:rPr>
          <w:rFonts w:cs="Arial"/>
          <w:spacing w:val="-1"/>
        </w:rPr>
      </w:pPr>
    </w:p>
    <w:p w14:paraId="61FC2586" w14:textId="166F926B" w:rsidR="00C14E74" w:rsidRPr="00FA4497" w:rsidRDefault="00316997" w:rsidP="005D74D2">
      <w:pPr>
        <w:pStyle w:val="ListParagraph"/>
        <w:numPr>
          <w:ilvl w:val="0"/>
          <w:numId w:val="2"/>
        </w:numPr>
        <w:spacing w:after="160" w:line="240" w:lineRule="auto"/>
        <w:ind w:right="-20"/>
        <w:rPr>
          <w:rFonts w:cs="Arial"/>
          <w:b/>
          <w:bCs/>
          <w:spacing w:val="-1"/>
          <w:sz w:val="24"/>
          <w:szCs w:val="24"/>
        </w:rPr>
      </w:pPr>
      <w:r w:rsidRPr="00FA4497">
        <w:rPr>
          <w:rFonts w:cs="Arial"/>
          <w:b/>
          <w:bCs/>
          <w:spacing w:val="-1"/>
          <w:sz w:val="24"/>
          <w:szCs w:val="24"/>
        </w:rPr>
        <w:t xml:space="preserve">Risk </w:t>
      </w:r>
      <w:proofErr w:type="gramStart"/>
      <w:r w:rsidRPr="00FA4497">
        <w:rPr>
          <w:rFonts w:cs="Arial"/>
          <w:b/>
          <w:bCs/>
          <w:spacing w:val="-1"/>
          <w:sz w:val="24"/>
          <w:szCs w:val="24"/>
        </w:rPr>
        <w:t>appetite</w:t>
      </w:r>
      <w:proofErr w:type="gramEnd"/>
    </w:p>
    <w:p w14:paraId="2D2A1857" w14:textId="7D6132CB" w:rsidR="002D020A" w:rsidRPr="003879A9" w:rsidRDefault="00C642A0" w:rsidP="002D020A">
      <w:pPr>
        <w:spacing w:before="60" w:after="100"/>
        <w:jc w:val="both"/>
        <w:rPr>
          <w:sz w:val="24"/>
          <w:szCs w:val="24"/>
        </w:rPr>
      </w:pPr>
      <w:r w:rsidRPr="003879A9">
        <w:rPr>
          <w:rFonts w:eastAsia="Arial" w:cs="Arial"/>
          <w:sz w:val="24"/>
          <w:szCs w:val="24"/>
        </w:rPr>
        <w:t>Quenington</w:t>
      </w:r>
      <w:r w:rsidR="002D020A" w:rsidRPr="003879A9">
        <w:rPr>
          <w:rFonts w:eastAsia="Arial" w:cs="Arial"/>
          <w:sz w:val="24"/>
          <w:szCs w:val="24"/>
        </w:rPr>
        <w:t xml:space="preserve"> Parish Council has a </w:t>
      </w:r>
      <w:proofErr w:type="gramStart"/>
      <w:r w:rsidR="002D020A" w:rsidRPr="003879A9">
        <w:rPr>
          <w:rFonts w:eastAsia="Arial" w:cs="Arial"/>
          <w:sz w:val="24"/>
          <w:szCs w:val="24"/>
        </w:rPr>
        <w:t>low</w:t>
      </w:r>
      <w:r w:rsidRPr="003879A9">
        <w:rPr>
          <w:rFonts w:eastAsia="Arial" w:cs="Arial"/>
          <w:sz w:val="24"/>
          <w:szCs w:val="24"/>
        </w:rPr>
        <w:t xml:space="preserve"> </w:t>
      </w:r>
      <w:r w:rsidR="002D020A" w:rsidRPr="003879A9">
        <w:rPr>
          <w:rFonts w:eastAsia="Arial" w:cs="Arial"/>
          <w:sz w:val="24"/>
          <w:szCs w:val="24"/>
        </w:rPr>
        <w:t>risk</w:t>
      </w:r>
      <w:proofErr w:type="gramEnd"/>
      <w:r w:rsidR="002D020A" w:rsidRPr="003879A9">
        <w:rPr>
          <w:rFonts w:eastAsia="Arial" w:cs="Arial"/>
          <w:sz w:val="24"/>
          <w:szCs w:val="24"/>
        </w:rPr>
        <w:t xml:space="preserve"> appetite in relation to:</w:t>
      </w:r>
    </w:p>
    <w:p w14:paraId="42F48318" w14:textId="77777777" w:rsidR="002D020A" w:rsidRPr="003879A9" w:rsidRDefault="002D020A" w:rsidP="002D020A">
      <w:pPr>
        <w:pStyle w:val="ListParagraph"/>
        <w:numPr>
          <w:ilvl w:val="0"/>
          <w:numId w:val="1"/>
        </w:numPr>
        <w:spacing w:before="40" w:after="40" w:line="240" w:lineRule="auto"/>
        <w:contextualSpacing w:val="0"/>
        <w:rPr>
          <w:sz w:val="24"/>
          <w:szCs w:val="24"/>
        </w:rPr>
      </w:pPr>
      <w:r w:rsidRPr="003879A9">
        <w:rPr>
          <w:rFonts w:eastAsia="Arial" w:cs="Arial"/>
          <w:sz w:val="24"/>
          <w:szCs w:val="24"/>
        </w:rPr>
        <w:t>Health and safety of members of the public, staff, and volunteers</w:t>
      </w:r>
    </w:p>
    <w:p w14:paraId="3956001E" w14:textId="50551391" w:rsidR="002D020A" w:rsidRPr="003879A9" w:rsidRDefault="00937AC6" w:rsidP="002D020A">
      <w:pPr>
        <w:pStyle w:val="ListParagraph"/>
        <w:numPr>
          <w:ilvl w:val="0"/>
          <w:numId w:val="1"/>
        </w:numPr>
        <w:spacing w:before="40" w:after="40" w:line="240" w:lineRule="auto"/>
        <w:contextualSpacing w:val="0"/>
        <w:rPr>
          <w:sz w:val="24"/>
          <w:szCs w:val="24"/>
        </w:rPr>
      </w:pPr>
      <w:r>
        <w:rPr>
          <w:rFonts w:eastAsia="Arial" w:cs="Arial"/>
          <w:sz w:val="24"/>
          <w:szCs w:val="24"/>
        </w:rPr>
        <w:lastRenderedPageBreak/>
        <w:t>Financial management</w:t>
      </w:r>
      <w:r w:rsidR="00B27886" w:rsidRPr="003879A9">
        <w:rPr>
          <w:rFonts w:eastAsia="Arial" w:cs="Arial"/>
          <w:sz w:val="24"/>
          <w:szCs w:val="24"/>
        </w:rPr>
        <w:t xml:space="preserve"> </w:t>
      </w:r>
      <w:proofErr w:type="gramStart"/>
      <w:r w:rsidR="00B27886" w:rsidRPr="003879A9">
        <w:rPr>
          <w:rFonts w:eastAsia="Arial" w:cs="Arial"/>
          <w:sz w:val="24"/>
          <w:szCs w:val="24"/>
        </w:rPr>
        <w:t>including</w:t>
      </w:r>
      <w:r w:rsidR="00342812" w:rsidRPr="003879A9">
        <w:rPr>
          <w:rFonts w:eastAsia="Arial" w:cs="Arial"/>
          <w:sz w:val="24"/>
          <w:szCs w:val="24"/>
        </w:rPr>
        <w:t>;</w:t>
      </w:r>
      <w:proofErr w:type="gramEnd"/>
      <w:r w:rsidR="00301095" w:rsidRPr="003879A9">
        <w:rPr>
          <w:rFonts w:eastAsia="Arial" w:cs="Arial"/>
          <w:sz w:val="24"/>
          <w:szCs w:val="24"/>
        </w:rPr>
        <w:t xml:space="preserve"> financial </w:t>
      </w:r>
      <w:r w:rsidR="002D020A" w:rsidRPr="003879A9">
        <w:rPr>
          <w:rFonts w:eastAsia="Arial" w:cs="Arial"/>
          <w:sz w:val="24"/>
          <w:szCs w:val="24"/>
        </w:rPr>
        <w:t>irregularity, fraud, and misappropriation of public funds</w:t>
      </w:r>
    </w:p>
    <w:p w14:paraId="334F54EB" w14:textId="72C80925" w:rsidR="002D020A" w:rsidRPr="003879A9" w:rsidRDefault="002D020A" w:rsidP="002D020A">
      <w:pPr>
        <w:pStyle w:val="ListParagraph"/>
        <w:numPr>
          <w:ilvl w:val="0"/>
          <w:numId w:val="1"/>
        </w:numPr>
        <w:spacing w:before="40" w:after="40" w:line="240" w:lineRule="auto"/>
        <w:contextualSpacing w:val="0"/>
        <w:rPr>
          <w:sz w:val="24"/>
          <w:szCs w:val="24"/>
        </w:rPr>
      </w:pPr>
      <w:r w:rsidRPr="003879A9">
        <w:rPr>
          <w:rFonts w:eastAsia="Arial" w:cs="Arial"/>
          <w:sz w:val="24"/>
          <w:szCs w:val="24"/>
        </w:rPr>
        <w:t xml:space="preserve">Non-compliance with legal and statutory duties, including data </w:t>
      </w:r>
      <w:proofErr w:type="gramStart"/>
      <w:r w:rsidRPr="003879A9">
        <w:rPr>
          <w:rFonts w:eastAsia="Arial" w:cs="Arial"/>
          <w:sz w:val="24"/>
          <w:szCs w:val="24"/>
        </w:rPr>
        <w:t>protection</w:t>
      </w:r>
      <w:proofErr w:type="gramEnd"/>
      <w:r w:rsidRPr="003879A9">
        <w:rPr>
          <w:rFonts w:eastAsia="Arial" w:cs="Arial"/>
          <w:sz w:val="24"/>
          <w:szCs w:val="24"/>
        </w:rPr>
        <w:t xml:space="preserve"> </w:t>
      </w:r>
    </w:p>
    <w:p w14:paraId="057982EE" w14:textId="77777777" w:rsidR="002D020A" w:rsidRPr="003879A9" w:rsidRDefault="002D020A" w:rsidP="002D020A">
      <w:pPr>
        <w:pStyle w:val="ListParagraph"/>
        <w:numPr>
          <w:ilvl w:val="0"/>
          <w:numId w:val="1"/>
        </w:numPr>
        <w:spacing w:before="40" w:after="40" w:line="240" w:lineRule="auto"/>
        <w:contextualSpacing w:val="0"/>
        <w:rPr>
          <w:sz w:val="24"/>
          <w:szCs w:val="24"/>
        </w:rPr>
      </w:pPr>
      <w:r w:rsidRPr="003879A9">
        <w:rPr>
          <w:rFonts w:eastAsia="Arial" w:cs="Arial"/>
          <w:sz w:val="24"/>
          <w:szCs w:val="24"/>
        </w:rPr>
        <w:t>Reputational damage to the Council</w:t>
      </w:r>
    </w:p>
    <w:p w14:paraId="21A0A9D9" w14:textId="77777777" w:rsidR="002D020A" w:rsidRDefault="002D020A" w:rsidP="002D020A">
      <w:pPr>
        <w:spacing w:before="60" w:after="100"/>
        <w:jc w:val="both"/>
      </w:pPr>
      <w:r w:rsidRPr="00D12B41">
        <w:rPr>
          <w:rFonts w:eastAsia="Arial" w:cs="Arial"/>
          <w:sz w:val="24"/>
          <w:szCs w:val="24"/>
        </w:rPr>
        <w:t>The Council accepts a moderate level of risk in relation to the delivery of services where changes are introduced with appropriate safeguards</w:t>
      </w:r>
      <w:r w:rsidRPr="00D12B41">
        <w:rPr>
          <w:rFonts w:ascii="Arial" w:eastAsia="Arial" w:hAnsi="Arial" w:cs="Arial"/>
        </w:rPr>
        <w:t>.</w:t>
      </w:r>
    </w:p>
    <w:p w14:paraId="7CCFA53A" w14:textId="77777777" w:rsidR="00083697" w:rsidRDefault="00083697" w:rsidP="00083697">
      <w:pPr>
        <w:spacing w:after="160" w:line="240" w:lineRule="auto"/>
        <w:ind w:right="-20"/>
        <w:rPr>
          <w:rFonts w:cs="Arial"/>
          <w:spacing w:val="-1"/>
          <w:sz w:val="24"/>
          <w:szCs w:val="24"/>
        </w:rPr>
      </w:pPr>
    </w:p>
    <w:p w14:paraId="25291B3C" w14:textId="49D3330F" w:rsidR="00316997" w:rsidRPr="00A062EE" w:rsidRDefault="00A07967" w:rsidP="005D74D2">
      <w:pPr>
        <w:pStyle w:val="ListParagraph"/>
        <w:numPr>
          <w:ilvl w:val="0"/>
          <w:numId w:val="2"/>
        </w:numPr>
        <w:spacing w:after="160" w:line="240" w:lineRule="auto"/>
        <w:ind w:right="-20"/>
        <w:rPr>
          <w:rFonts w:cs="Arial"/>
          <w:b/>
          <w:bCs/>
          <w:spacing w:val="-1"/>
          <w:sz w:val="24"/>
          <w:szCs w:val="24"/>
        </w:rPr>
      </w:pPr>
      <w:r w:rsidRPr="00A062EE">
        <w:rPr>
          <w:rFonts w:cs="Arial"/>
          <w:b/>
          <w:bCs/>
          <w:spacing w:val="-1"/>
          <w:sz w:val="24"/>
          <w:szCs w:val="24"/>
        </w:rPr>
        <w:t>Roles and responsibilities</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160"/>
      </w:tblGrid>
      <w:tr w:rsidR="00CE4C7F" w14:paraId="02F5BE93" w14:textId="77777777" w:rsidTr="00042430">
        <w:trPr>
          <w:tblHeader/>
        </w:trPr>
        <w:tc>
          <w:tcPr>
            <w:tcW w:w="28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02A30893" w14:textId="77777777" w:rsidR="00CE4C7F" w:rsidRDefault="00CE4C7F" w:rsidP="00042430">
            <w:pPr>
              <w:jc w:val="center"/>
            </w:pPr>
            <w:r>
              <w:rPr>
                <w:rFonts w:ascii="Arial" w:eastAsia="Arial" w:hAnsi="Arial" w:cs="Arial"/>
                <w:b/>
                <w:bCs/>
                <w:color w:val="FFFFFF"/>
                <w:sz w:val="20"/>
                <w:szCs w:val="20"/>
              </w:rPr>
              <w:t>Role</w:t>
            </w:r>
          </w:p>
        </w:tc>
        <w:tc>
          <w:tcPr>
            <w:tcW w:w="61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438C9325" w14:textId="77777777" w:rsidR="00CE4C7F" w:rsidRDefault="00CE4C7F" w:rsidP="00042430">
            <w:pPr>
              <w:jc w:val="center"/>
            </w:pPr>
            <w:r>
              <w:rPr>
                <w:rFonts w:ascii="Arial" w:eastAsia="Arial" w:hAnsi="Arial" w:cs="Arial"/>
                <w:b/>
                <w:bCs/>
                <w:color w:val="FFFFFF"/>
                <w:sz w:val="20"/>
                <w:szCs w:val="20"/>
              </w:rPr>
              <w:t>Responsibilities</w:t>
            </w:r>
          </w:p>
        </w:tc>
      </w:tr>
      <w:tr w:rsidR="00CE4C7F" w14:paraId="0ECE3757" w14:textId="77777777" w:rsidTr="00042430">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9CC680" w14:textId="77777777" w:rsidR="00CE4C7F" w:rsidRPr="0084223A" w:rsidRDefault="00CE4C7F" w:rsidP="00042430">
            <w:r w:rsidRPr="0084223A">
              <w:rPr>
                <w:rFonts w:eastAsia="Arial" w:cs="Arial"/>
                <w:sz w:val="20"/>
                <w:szCs w:val="20"/>
              </w:rPr>
              <w:t>Full Council</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77DFB7" w14:textId="10649FA6" w:rsidR="00CE4C7F" w:rsidRPr="0084223A" w:rsidRDefault="00CE4C7F" w:rsidP="00042430">
            <w:r w:rsidRPr="0084223A">
              <w:rPr>
                <w:rFonts w:eastAsia="Arial" w:cs="Arial"/>
                <w:sz w:val="20"/>
                <w:szCs w:val="20"/>
              </w:rPr>
              <w:t>Approval and oversight of this policy; ultimate accountability for risk management</w:t>
            </w:r>
            <w:r w:rsidR="00761476">
              <w:rPr>
                <w:rFonts w:eastAsia="Arial" w:cs="Arial"/>
                <w:sz w:val="20"/>
                <w:szCs w:val="20"/>
              </w:rPr>
              <w:t xml:space="preserve">, </w:t>
            </w:r>
            <w:r w:rsidR="00761476" w:rsidRPr="001D4C46">
              <w:rPr>
                <w:rFonts w:eastAsia="Arial" w:cs="Arial"/>
                <w:sz w:val="20"/>
                <w:szCs w:val="20"/>
              </w:rPr>
              <w:t xml:space="preserve">approval of </w:t>
            </w:r>
            <w:r w:rsidR="00DA0D02" w:rsidRPr="001D4C46">
              <w:rPr>
                <w:rFonts w:eastAsia="Arial" w:cs="Arial"/>
                <w:sz w:val="20"/>
                <w:szCs w:val="20"/>
              </w:rPr>
              <w:t xml:space="preserve">annual </w:t>
            </w:r>
            <w:r w:rsidR="00761476" w:rsidRPr="001D4C46">
              <w:rPr>
                <w:rFonts w:eastAsia="Arial" w:cs="Arial"/>
                <w:sz w:val="20"/>
                <w:szCs w:val="20"/>
              </w:rPr>
              <w:t>insurance</w:t>
            </w:r>
            <w:r w:rsidR="00675D21">
              <w:rPr>
                <w:rFonts w:eastAsia="Arial" w:cs="Arial"/>
                <w:sz w:val="20"/>
                <w:szCs w:val="20"/>
              </w:rPr>
              <w:t xml:space="preserve"> policy</w:t>
            </w:r>
          </w:p>
        </w:tc>
      </w:tr>
      <w:tr w:rsidR="00CE4C7F" w14:paraId="78878989" w14:textId="77777777" w:rsidTr="007163AE">
        <w:tc>
          <w:tcPr>
            <w:tcW w:w="2800"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14:paraId="182DBF80" w14:textId="02EC0D13" w:rsidR="00CE4C7F" w:rsidRPr="0084223A" w:rsidRDefault="005E73C4" w:rsidP="00042430">
            <w:r w:rsidRPr="0084223A">
              <w:rPr>
                <w:rFonts w:eastAsia="Arial" w:cs="Arial"/>
                <w:sz w:val="20"/>
                <w:szCs w:val="20"/>
              </w:rPr>
              <w:t xml:space="preserve">Parish Clerk / </w:t>
            </w:r>
            <w:r w:rsidR="00CE4C7F" w:rsidRPr="0084223A">
              <w:rPr>
                <w:rFonts w:eastAsia="Arial" w:cs="Arial"/>
                <w:sz w:val="20"/>
                <w:szCs w:val="20"/>
              </w:rPr>
              <w:t>Responsible Finance Officer (RFO)</w:t>
            </w:r>
          </w:p>
        </w:tc>
        <w:tc>
          <w:tcPr>
            <w:tcW w:w="6160"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14:paraId="57F89D72" w14:textId="01CC7150" w:rsidR="00CE4C7F" w:rsidRPr="0084223A" w:rsidRDefault="00CE4C7F" w:rsidP="00042430">
            <w:pPr>
              <w:rPr>
                <w:rFonts w:eastAsia="Arial" w:cs="Arial"/>
                <w:sz w:val="20"/>
                <w:szCs w:val="20"/>
              </w:rPr>
            </w:pPr>
            <w:r w:rsidRPr="0084223A">
              <w:rPr>
                <w:rFonts w:eastAsia="Arial" w:cs="Arial"/>
                <w:sz w:val="20"/>
                <w:szCs w:val="20"/>
              </w:rPr>
              <w:t>Day</w:t>
            </w:r>
            <w:r w:rsidR="0084223A">
              <w:rPr>
                <w:rFonts w:eastAsia="Arial" w:cs="Arial"/>
                <w:sz w:val="20"/>
                <w:szCs w:val="20"/>
              </w:rPr>
              <w:t xml:space="preserve"> to </w:t>
            </w:r>
            <w:r w:rsidRPr="0084223A">
              <w:rPr>
                <w:rFonts w:eastAsia="Arial" w:cs="Arial"/>
                <w:sz w:val="20"/>
                <w:szCs w:val="20"/>
              </w:rPr>
              <w:t>day operation of financial risk controls; preparation of risk register updates</w:t>
            </w:r>
          </w:p>
          <w:p w14:paraId="2E186280" w14:textId="7B343FFC" w:rsidR="00141450" w:rsidRPr="0084223A" w:rsidRDefault="00EC6CC6" w:rsidP="00141450">
            <w:r>
              <w:rPr>
                <w:rFonts w:eastAsia="Arial" w:cs="Arial"/>
                <w:sz w:val="20"/>
                <w:szCs w:val="20"/>
              </w:rPr>
              <w:t xml:space="preserve">Ensuring the parish council has adequate insurance </w:t>
            </w:r>
            <w:r w:rsidR="00613ADE">
              <w:rPr>
                <w:rFonts w:eastAsia="Arial" w:cs="Arial"/>
                <w:sz w:val="20"/>
                <w:szCs w:val="20"/>
              </w:rPr>
              <w:t xml:space="preserve">to </w:t>
            </w:r>
            <w:r>
              <w:rPr>
                <w:rFonts w:eastAsia="Arial" w:cs="Arial"/>
                <w:sz w:val="20"/>
                <w:szCs w:val="20"/>
              </w:rPr>
              <w:t>cover</w:t>
            </w:r>
            <w:r w:rsidR="00613ADE">
              <w:rPr>
                <w:rFonts w:eastAsia="Arial" w:cs="Arial"/>
                <w:sz w:val="20"/>
                <w:szCs w:val="20"/>
              </w:rPr>
              <w:t xml:space="preserve"> its </w:t>
            </w:r>
            <w:r w:rsidR="001A5C07">
              <w:rPr>
                <w:rFonts w:eastAsia="Arial" w:cs="Arial"/>
                <w:sz w:val="20"/>
                <w:szCs w:val="20"/>
              </w:rPr>
              <w:t xml:space="preserve">assets and </w:t>
            </w:r>
            <w:r w:rsidR="00613ADE">
              <w:rPr>
                <w:rFonts w:eastAsia="Arial" w:cs="Arial"/>
                <w:sz w:val="20"/>
                <w:szCs w:val="20"/>
              </w:rPr>
              <w:t>activities,</w:t>
            </w:r>
            <w:r>
              <w:rPr>
                <w:rFonts w:eastAsia="Arial" w:cs="Arial"/>
                <w:sz w:val="20"/>
                <w:szCs w:val="20"/>
              </w:rPr>
              <w:t xml:space="preserve"> </w:t>
            </w:r>
            <w:r w:rsidR="00613ADE">
              <w:rPr>
                <w:rFonts w:eastAsia="Arial" w:cs="Arial"/>
                <w:sz w:val="20"/>
                <w:szCs w:val="20"/>
              </w:rPr>
              <w:t>c</w:t>
            </w:r>
            <w:r w:rsidR="00141450" w:rsidRPr="0084223A">
              <w:rPr>
                <w:rFonts w:eastAsia="Arial" w:cs="Arial"/>
                <w:sz w:val="20"/>
                <w:szCs w:val="20"/>
              </w:rPr>
              <w:t>o-ordination of risk management activities; ensuring policy compliance; reporting to Council</w:t>
            </w:r>
          </w:p>
        </w:tc>
      </w:tr>
      <w:tr w:rsidR="00CE4C7F" w14:paraId="7168F36B" w14:textId="77777777" w:rsidTr="007163AE">
        <w:tc>
          <w:tcPr>
            <w:tcW w:w="2800"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14:paraId="1410E27C" w14:textId="77777777" w:rsidR="00CE4C7F" w:rsidRPr="0084223A" w:rsidRDefault="00CE4C7F" w:rsidP="00042430">
            <w:r w:rsidRPr="0084223A">
              <w:rPr>
                <w:rFonts w:eastAsia="Arial" w:cs="Arial"/>
                <w:sz w:val="20"/>
                <w:szCs w:val="20"/>
              </w:rPr>
              <w:t>All Councillors</w:t>
            </w:r>
          </w:p>
        </w:tc>
        <w:tc>
          <w:tcPr>
            <w:tcW w:w="6160"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14:paraId="66CD6A03" w14:textId="77777777" w:rsidR="00CE4C7F" w:rsidRPr="0084223A" w:rsidRDefault="00CE4C7F" w:rsidP="00042430">
            <w:r w:rsidRPr="0084223A">
              <w:rPr>
                <w:rFonts w:eastAsia="Arial" w:cs="Arial"/>
                <w:sz w:val="20"/>
                <w:szCs w:val="20"/>
              </w:rPr>
              <w:t>Reporting risks and near-misses; adherence to this policy; supporting risk control measures</w:t>
            </w:r>
          </w:p>
        </w:tc>
      </w:tr>
      <w:tr w:rsidR="00CE4C7F" w14:paraId="6B3CA8DD" w14:textId="77777777" w:rsidTr="00042430">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4F3326" w14:textId="503EA069" w:rsidR="00CE4C7F" w:rsidRPr="0084223A" w:rsidRDefault="00CE4C7F" w:rsidP="00042430">
            <w:r w:rsidRPr="0084223A">
              <w:rPr>
                <w:rFonts w:eastAsia="Arial" w:cs="Arial"/>
                <w:sz w:val="20"/>
                <w:szCs w:val="20"/>
              </w:rPr>
              <w:t xml:space="preserve">External </w:t>
            </w:r>
            <w:r w:rsidR="009E63A8">
              <w:rPr>
                <w:rFonts w:eastAsia="Arial" w:cs="Arial"/>
                <w:sz w:val="20"/>
                <w:szCs w:val="20"/>
              </w:rPr>
              <w:t>c</w:t>
            </w:r>
            <w:r w:rsidRPr="0084223A">
              <w:rPr>
                <w:rFonts w:eastAsia="Arial" w:cs="Arial"/>
                <w:sz w:val="20"/>
                <w:szCs w:val="20"/>
              </w:rPr>
              <w:t>ontractors</w:t>
            </w:r>
            <w:r w:rsidR="000C79C0">
              <w:rPr>
                <w:rFonts w:eastAsia="Arial" w:cs="Arial"/>
                <w:sz w:val="20"/>
                <w:szCs w:val="20"/>
              </w:rPr>
              <w:t xml:space="preserve"> and volunteers</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6A2C92" w14:textId="5B4278BA" w:rsidR="00CE4C7F" w:rsidRPr="0084223A" w:rsidRDefault="00CE4C7F" w:rsidP="00042430">
            <w:r w:rsidRPr="0084223A">
              <w:rPr>
                <w:rFonts w:eastAsia="Arial" w:cs="Arial"/>
                <w:sz w:val="20"/>
                <w:szCs w:val="20"/>
              </w:rPr>
              <w:t xml:space="preserve">Compliance with relevant health and safety requirements when working on </w:t>
            </w:r>
            <w:r w:rsidR="000C79C0">
              <w:rPr>
                <w:rFonts w:eastAsia="Arial" w:cs="Arial"/>
                <w:sz w:val="20"/>
                <w:szCs w:val="20"/>
              </w:rPr>
              <w:t xml:space="preserve">behalf of the </w:t>
            </w:r>
            <w:r w:rsidRPr="0084223A">
              <w:rPr>
                <w:rFonts w:eastAsia="Arial" w:cs="Arial"/>
                <w:sz w:val="20"/>
                <w:szCs w:val="20"/>
              </w:rPr>
              <w:t xml:space="preserve">Council </w:t>
            </w:r>
          </w:p>
        </w:tc>
      </w:tr>
    </w:tbl>
    <w:p w14:paraId="6266C2BF" w14:textId="77777777" w:rsidR="00A07967" w:rsidRPr="00A07967" w:rsidRDefault="00A07967" w:rsidP="00A07967">
      <w:pPr>
        <w:spacing w:after="160" w:line="240" w:lineRule="auto"/>
        <w:ind w:right="-20"/>
        <w:rPr>
          <w:rFonts w:cs="Arial"/>
          <w:spacing w:val="-1"/>
          <w:sz w:val="24"/>
          <w:szCs w:val="24"/>
        </w:rPr>
      </w:pPr>
    </w:p>
    <w:p w14:paraId="1C16668F" w14:textId="32A4824C" w:rsidR="00982112" w:rsidRDefault="001912C1" w:rsidP="001912C1">
      <w:pPr>
        <w:spacing w:after="160" w:line="240" w:lineRule="auto"/>
        <w:ind w:right="-20"/>
        <w:rPr>
          <w:rFonts w:cs="Arial"/>
          <w:b/>
          <w:bCs/>
          <w:spacing w:val="-1"/>
          <w:sz w:val="28"/>
          <w:szCs w:val="28"/>
        </w:rPr>
      </w:pPr>
      <w:r w:rsidRPr="00D830A0">
        <w:rPr>
          <w:rFonts w:cs="Arial"/>
          <w:b/>
          <w:bCs/>
          <w:spacing w:val="-1"/>
          <w:sz w:val="28"/>
          <w:szCs w:val="28"/>
        </w:rPr>
        <w:t xml:space="preserve">Identification </w:t>
      </w:r>
      <w:r w:rsidR="00167AB4" w:rsidRPr="00D830A0">
        <w:rPr>
          <w:rFonts w:cs="Arial"/>
          <w:b/>
          <w:bCs/>
          <w:spacing w:val="-1"/>
          <w:sz w:val="28"/>
          <w:szCs w:val="28"/>
        </w:rPr>
        <w:t>and Management of Risks</w:t>
      </w:r>
    </w:p>
    <w:p w14:paraId="04B0E217" w14:textId="500B521C" w:rsidR="001A5C07" w:rsidRDefault="00890111" w:rsidP="001912C1">
      <w:pPr>
        <w:spacing w:after="160" w:line="240" w:lineRule="auto"/>
        <w:ind w:right="-20"/>
        <w:rPr>
          <w:rFonts w:cs="Arial"/>
          <w:spacing w:val="-1"/>
          <w:sz w:val="24"/>
          <w:szCs w:val="24"/>
        </w:rPr>
      </w:pPr>
      <w:r>
        <w:rPr>
          <w:rFonts w:cs="Arial"/>
          <w:spacing w:val="-1"/>
          <w:sz w:val="24"/>
          <w:szCs w:val="24"/>
        </w:rPr>
        <w:t xml:space="preserve">Every year </w:t>
      </w:r>
      <w:r w:rsidR="00D9552D">
        <w:rPr>
          <w:rFonts w:cs="Arial"/>
          <w:spacing w:val="-1"/>
          <w:sz w:val="24"/>
          <w:szCs w:val="24"/>
        </w:rPr>
        <w:t xml:space="preserve">the clerk </w:t>
      </w:r>
      <w:r w:rsidR="00365060">
        <w:rPr>
          <w:rFonts w:cs="Arial"/>
          <w:spacing w:val="-1"/>
          <w:sz w:val="24"/>
          <w:szCs w:val="24"/>
        </w:rPr>
        <w:t>produces a risk managem</w:t>
      </w:r>
      <w:r w:rsidR="00E62527">
        <w:rPr>
          <w:rFonts w:cs="Arial"/>
          <w:spacing w:val="-1"/>
          <w:sz w:val="24"/>
          <w:szCs w:val="24"/>
        </w:rPr>
        <w:t xml:space="preserve">ent </w:t>
      </w:r>
      <w:r w:rsidR="001D4C46">
        <w:rPr>
          <w:rFonts w:cs="Arial"/>
          <w:spacing w:val="-1"/>
          <w:sz w:val="24"/>
          <w:szCs w:val="24"/>
        </w:rPr>
        <w:t xml:space="preserve">register </w:t>
      </w:r>
      <w:r w:rsidR="00E62527">
        <w:rPr>
          <w:rFonts w:cs="Arial"/>
          <w:spacing w:val="-1"/>
          <w:sz w:val="24"/>
          <w:szCs w:val="24"/>
        </w:rPr>
        <w:t xml:space="preserve">in which </w:t>
      </w:r>
      <w:r w:rsidR="00D9552D">
        <w:rPr>
          <w:rFonts w:cs="Arial"/>
          <w:spacing w:val="-1"/>
          <w:sz w:val="24"/>
          <w:szCs w:val="24"/>
        </w:rPr>
        <w:t>areas of risk</w:t>
      </w:r>
      <w:r w:rsidR="00475725">
        <w:rPr>
          <w:rFonts w:cs="Arial"/>
          <w:spacing w:val="-1"/>
          <w:sz w:val="24"/>
          <w:szCs w:val="24"/>
        </w:rPr>
        <w:t xml:space="preserve"> </w:t>
      </w:r>
      <w:r w:rsidR="00E62527">
        <w:rPr>
          <w:rFonts w:cs="Arial"/>
          <w:spacing w:val="-1"/>
          <w:sz w:val="24"/>
          <w:szCs w:val="24"/>
        </w:rPr>
        <w:t xml:space="preserve">are identified </w:t>
      </w:r>
      <w:r w:rsidR="00431764">
        <w:rPr>
          <w:rFonts w:cs="Arial"/>
          <w:spacing w:val="-1"/>
          <w:sz w:val="24"/>
          <w:szCs w:val="24"/>
        </w:rPr>
        <w:t xml:space="preserve">together </w:t>
      </w:r>
      <w:r w:rsidR="00E62527">
        <w:rPr>
          <w:rFonts w:cs="Arial"/>
          <w:spacing w:val="-1"/>
          <w:sz w:val="24"/>
          <w:szCs w:val="24"/>
        </w:rPr>
        <w:t>with</w:t>
      </w:r>
      <w:r>
        <w:rPr>
          <w:rFonts w:cs="Arial"/>
          <w:spacing w:val="-1"/>
          <w:sz w:val="24"/>
          <w:szCs w:val="24"/>
        </w:rPr>
        <w:t xml:space="preserve"> potential </w:t>
      </w:r>
      <w:r w:rsidR="00475725">
        <w:rPr>
          <w:rFonts w:cs="Arial"/>
          <w:spacing w:val="-1"/>
          <w:sz w:val="24"/>
          <w:szCs w:val="24"/>
        </w:rPr>
        <w:t xml:space="preserve">mitigations that can be </w:t>
      </w:r>
      <w:r w:rsidR="00365060">
        <w:rPr>
          <w:rFonts w:cs="Arial"/>
          <w:spacing w:val="-1"/>
          <w:sz w:val="24"/>
          <w:szCs w:val="24"/>
        </w:rPr>
        <w:t xml:space="preserve">put in place </w:t>
      </w:r>
      <w:r w:rsidR="00475725">
        <w:rPr>
          <w:rFonts w:cs="Arial"/>
          <w:spacing w:val="-1"/>
          <w:sz w:val="24"/>
          <w:szCs w:val="24"/>
        </w:rPr>
        <w:t xml:space="preserve">to reduce or eliminate </w:t>
      </w:r>
      <w:r w:rsidR="00431764">
        <w:rPr>
          <w:rFonts w:cs="Arial"/>
          <w:spacing w:val="-1"/>
          <w:sz w:val="24"/>
          <w:szCs w:val="24"/>
        </w:rPr>
        <w:t>risk</w:t>
      </w:r>
      <w:r w:rsidR="004A27A9">
        <w:rPr>
          <w:rFonts w:cs="Arial"/>
          <w:spacing w:val="-1"/>
          <w:sz w:val="24"/>
          <w:szCs w:val="24"/>
        </w:rPr>
        <w:t>.</w:t>
      </w:r>
      <w:r w:rsidR="00F20C34">
        <w:rPr>
          <w:rFonts w:cs="Arial"/>
          <w:spacing w:val="-1"/>
          <w:sz w:val="24"/>
          <w:szCs w:val="24"/>
        </w:rPr>
        <w:t xml:space="preserve"> Th</w:t>
      </w:r>
      <w:r w:rsidR="00E44196">
        <w:rPr>
          <w:rFonts w:cs="Arial"/>
          <w:spacing w:val="-1"/>
          <w:sz w:val="24"/>
          <w:szCs w:val="24"/>
        </w:rPr>
        <w:t xml:space="preserve">e risk management </w:t>
      </w:r>
      <w:r w:rsidR="007274F4">
        <w:rPr>
          <w:rFonts w:cs="Arial"/>
          <w:spacing w:val="-1"/>
          <w:sz w:val="24"/>
          <w:szCs w:val="24"/>
        </w:rPr>
        <w:t>register</w:t>
      </w:r>
      <w:r w:rsidR="00E44196">
        <w:rPr>
          <w:rFonts w:cs="Arial"/>
          <w:spacing w:val="-1"/>
          <w:sz w:val="24"/>
          <w:szCs w:val="24"/>
        </w:rPr>
        <w:t xml:space="preserve"> is </w:t>
      </w:r>
      <w:r w:rsidR="002B7B16">
        <w:rPr>
          <w:rFonts w:cs="Arial"/>
          <w:spacing w:val="-1"/>
          <w:sz w:val="24"/>
          <w:szCs w:val="24"/>
        </w:rPr>
        <w:t xml:space="preserve">reviewed and approved </w:t>
      </w:r>
      <w:r w:rsidR="004A27A9">
        <w:rPr>
          <w:rFonts w:cs="Arial"/>
          <w:spacing w:val="-1"/>
          <w:sz w:val="24"/>
          <w:szCs w:val="24"/>
        </w:rPr>
        <w:t>by</w:t>
      </w:r>
      <w:r w:rsidR="002B7B16">
        <w:rPr>
          <w:rFonts w:cs="Arial"/>
          <w:spacing w:val="-1"/>
          <w:sz w:val="24"/>
          <w:szCs w:val="24"/>
        </w:rPr>
        <w:t xml:space="preserve"> </w:t>
      </w:r>
      <w:r w:rsidR="004A27A9">
        <w:rPr>
          <w:rFonts w:cs="Arial"/>
          <w:spacing w:val="-1"/>
          <w:sz w:val="24"/>
          <w:szCs w:val="24"/>
        </w:rPr>
        <w:t xml:space="preserve">the </w:t>
      </w:r>
      <w:r w:rsidR="002B7B16">
        <w:rPr>
          <w:rFonts w:cs="Arial"/>
          <w:spacing w:val="-1"/>
          <w:sz w:val="24"/>
          <w:szCs w:val="24"/>
        </w:rPr>
        <w:t xml:space="preserve">council </w:t>
      </w:r>
      <w:r w:rsidR="00953D2B">
        <w:rPr>
          <w:rFonts w:cs="Arial"/>
          <w:spacing w:val="-1"/>
          <w:sz w:val="24"/>
          <w:szCs w:val="24"/>
        </w:rPr>
        <w:t>and</w:t>
      </w:r>
      <w:r w:rsidR="00E30E17">
        <w:rPr>
          <w:rFonts w:cs="Arial"/>
          <w:spacing w:val="-1"/>
          <w:sz w:val="24"/>
          <w:szCs w:val="24"/>
        </w:rPr>
        <w:t xml:space="preserve"> published on the parish council’s website</w:t>
      </w:r>
      <w:r w:rsidR="00953D2B">
        <w:rPr>
          <w:rFonts w:cs="Arial"/>
          <w:spacing w:val="-1"/>
          <w:sz w:val="24"/>
          <w:szCs w:val="24"/>
        </w:rPr>
        <w:t xml:space="preserve">. </w:t>
      </w:r>
      <w:r w:rsidR="00076E22">
        <w:rPr>
          <w:rFonts w:cs="Arial"/>
          <w:spacing w:val="-1"/>
          <w:sz w:val="24"/>
          <w:szCs w:val="24"/>
        </w:rPr>
        <w:t xml:space="preserve"> </w:t>
      </w:r>
      <w:r w:rsidR="004554D1">
        <w:rPr>
          <w:rFonts w:cs="Arial"/>
          <w:spacing w:val="-1"/>
          <w:sz w:val="24"/>
          <w:szCs w:val="24"/>
        </w:rPr>
        <w:t xml:space="preserve">The mitigation measures used to manage risk </w:t>
      </w:r>
      <w:proofErr w:type="gramStart"/>
      <w:r w:rsidR="004554D1">
        <w:rPr>
          <w:rFonts w:cs="Arial"/>
          <w:spacing w:val="-1"/>
          <w:sz w:val="24"/>
          <w:szCs w:val="24"/>
        </w:rPr>
        <w:t>include;</w:t>
      </w:r>
      <w:proofErr w:type="gramEnd"/>
      <w:r w:rsidR="004554D1">
        <w:rPr>
          <w:rFonts w:cs="Arial"/>
          <w:spacing w:val="-1"/>
          <w:sz w:val="24"/>
          <w:szCs w:val="24"/>
        </w:rPr>
        <w:t xml:space="preserve"> regular inspection of council assets</w:t>
      </w:r>
      <w:r w:rsidR="0084482F">
        <w:rPr>
          <w:rFonts w:cs="Arial"/>
          <w:spacing w:val="-1"/>
          <w:sz w:val="24"/>
          <w:szCs w:val="24"/>
        </w:rPr>
        <w:t xml:space="preserve"> and </w:t>
      </w:r>
      <w:r w:rsidR="007558CA">
        <w:rPr>
          <w:rFonts w:cs="Arial"/>
          <w:spacing w:val="-1"/>
          <w:sz w:val="24"/>
          <w:szCs w:val="24"/>
        </w:rPr>
        <w:t>having adequate insurance co</w:t>
      </w:r>
      <w:r w:rsidR="00DF30B3">
        <w:rPr>
          <w:rFonts w:cs="Arial"/>
          <w:spacing w:val="-1"/>
          <w:sz w:val="24"/>
          <w:szCs w:val="24"/>
        </w:rPr>
        <w:t>ver</w:t>
      </w:r>
      <w:r w:rsidR="007558CA">
        <w:rPr>
          <w:rFonts w:cs="Arial"/>
          <w:spacing w:val="-1"/>
          <w:sz w:val="24"/>
          <w:szCs w:val="24"/>
        </w:rPr>
        <w:t xml:space="preserve">. </w:t>
      </w:r>
    </w:p>
    <w:p w14:paraId="437FFCC1" w14:textId="2E0B4050" w:rsidR="00C7643C" w:rsidRDefault="000F11E9" w:rsidP="001912C1">
      <w:pPr>
        <w:spacing w:after="160" w:line="240" w:lineRule="auto"/>
        <w:ind w:right="-20"/>
        <w:rPr>
          <w:rFonts w:cs="Arial"/>
          <w:spacing w:val="-1"/>
          <w:sz w:val="24"/>
          <w:szCs w:val="24"/>
        </w:rPr>
      </w:pPr>
      <w:r>
        <w:rPr>
          <w:rFonts w:cs="Arial"/>
          <w:spacing w:val="-1"/>
          <w:sz w:val="24"/>
          <w:szCs w:val="24"/>
        </w:rPr>
        <w:t>In addition to the risk management document separate r</w:t>
      </w:r>
      <w:r w:rsidR="007558CA">
        <w:rPr>
          <w:rFonts w:cs="Arial"/>
          <w:spacing w:val="-1"/>
          <w:sz w:val="24"/>
          <w:szCs w:val="24"/>
        </w:rPr>
        <w:t>isk assessment</w:t>
      </w:r>
      <w:r>
        <w:rPr>
          <w:rFonts w:cs="Arial"/>
          <w:spacing w:val="-1"/>
          <w:sz w:val="24"/>
          <w:szCs w:val="24"/>
        </w:rPr>
        <w:t xml:space="preserve"> documents </w:t>
      </w:r>
      <w:r w:rsidR="007558CA">
        <w:rPr>
          <w:rFonts w:cs="Arial"/>
          <w:spacing w:val="-1"/>
          <w:sz w:val="24"/>
          <w:szCs w:val="24"/>
        </w:rPr>
        <w:t>are produce</w:t>
      </w:r>
      <w:r w:rsidR="00C17E54">
        <w:rPr>
          <w:rFonts w:cs="Arial"/>
          <w:spacing w:val="-1"/>
          <w:sz w:val="24"/>
          <w:szCs w:val="24"/>
        </w:rPr>
        <w:t>d</w:t>
      </w:r>
      <w:r w:rsidR="007558CA">
        <w:rPr>
          <w:rFonts w:cs="Arial"/>
          <w:spacing w:val="-1"/>
          <w:sz w:val="24"/>
          <w:szCs w:val="24"/>
        </w:rPr>
        <w:t xml:space="preserve"> </w:t>
      </w:r>
      <w:r w:rsidR="00C17E54">
        <w:rPr>
          <w:rFonts w:cs="Arial"/>
          <w:spacing w:val="-1"/>
          <w:sz w:val="24"/>
          <w:szCs w:val="24"/>
        </w:rPr>
        <w:t xml:space="preserve">and approved by council </w:t>
      </w:r>
      <w:r w:rsidR="00B12A4C">
        <w:rPr>
          <w:rFonts w:cs="Arial"/>
          <w:spacing w:val="-1"/>
          <w:sz w:val="24"/>
          <w:szCs w:val="24"/>
        </w:rPr>
        <w:t xml:space="preserve">each year </w:t>
      </w:r>
      <w:proofErr w:type="gramStart"/>
      <w:r w:rsidR="007558CA">
        <w:rPr>
          <w:rFonts w:cs="Arial"/>
          <w:spacing w:val="-1"/>
          <w:sz w:val="24"/>
          <w:szCs w:val="24"/>
        </w:rPr>
        <w:t>for;</w:t>
      </w:r>
      <w:proofErr w:type="gramEnd"/>
      <w:r w:rsidR="00C76261">
        <w:rPr>
          <w:rFonts w:cs="Arial"/>
          <w:spacing w:val="-1"/>
          <w:sz w:val="24"/>
          <w:szCs w:val="24"/>
        </w:rPr>
        <w:t xml:space="preserve"> the playground, the cemetery, the green</w:t>
      </w:r>
      <w:r w:rsidR="003848F5">
        <w:rPr>
          <w:rFonts w:cs="Arial"/>
          <w:spacing w:val="-1"/>
          <w:sz w:val="24"/>
          <w:szCs w:val="24"/>
        </w:rPr>
        <w:t xml:space="preserve">, </w:t>
      </w:r>
      <w:r w:rsidR="00CE0558">
        <w:rPr>
          <w:rFonts w:cs="Arial"/>
          <w:spacing w:val="-1"/>
          <w:sz w:val="24"/>
          <w:szCs w:val="24"/>
        </w:rPr>
        <w:t>the bus shelters, the phone box</w:t>
      </w:r>
      <w:r w:rsidR="00A40BBB">
        <w:rPr>
          <w:rFonts w:cs="Arial"/>
          <w:spacing w:val="-1"/>
          <w:sz w:val="24"/>
          <w:szCs w:val="24"/>
        </w:rPr>
        <w:t xml:space="preserve"> and external contractors</w:t>
      </w:r>
      <w:r w:rsidR="00B12A4C">
        <w:rPr>
          <w:rFonts w:cs="Arial"/>
          <w:spacing w:val="-1"/>
          <w:sz w:val="24"/>
          <w:szCs w:val="24"/>
        </w:rPr>
        <w:t xml:space="preserve">. The risk assessments are published </w:t>
      </w:r>
      <w:r w:rsidR="00216268">
        <w:rPr>
          <w:rFonts w:cs="Arial"/>
          <w:spacing w:val="-1"/>
          <w:sz w:val="24"/>
          <w:szCs w:val="24"/>
        </w:rPr>
        <w:t xml:space="preserve">on the </w:t>
      </w:r>
      <w:r w:rsidR="00B12A4C">
        <w:rPr>
          <w:rFonts w:cs="Arial"/>
          <w:spacing w:val="-1"/>
          <w:sz w:val="24"/>
          <w:szCs w:val="24"/>
        </w:rPr>
        <w:t xml:space="preserve">parish council </w:t>
      </w:r>
      <w:r w:rsidR="00216268">
        <w:rPr>
          <w:rFonts w:cs="Arial"/>
          <w:spacing w:val="-1"/>
          <w:sz w:val="24"/>
          <w:szCs w:val="24"/>
        </w:rPr>
        <w:t>website.</w:t>
      </w:r>
    </w:p>
    <w:p w14:paraId="74FEC0E2" w14:textId="77777777" w:rsidR="00D45108" w:rsidRDefault="00D45108" w:rsidP="001912C1">
      <w:pPr>
        <w:spacing w:after="160" w:line="240" w:lineRule="auto"/>
        <w:ind w:right="-20"/>
        <w:rPr>
          <w:rFonts w:cs="Arial"/>
          <w:spacing w:val="-1"/>
          <w:sz w:val="24"/>
          <w:szCs w:val="24"/>
        </w:rPr>
      </w:pPr>
    </w:p>
    <w:p w14:paraId="1C0C53CC" w14:textId="4C52AFA4" w:rsidR="00D45108" w:rsidRDefault="00D45108" w:rsidP="001912C1">
      <w:pPr>
        <w:spacing w:after="160" w:line="240" w:lineRule="auto"/>
        <w:ind w:right="-20"/>
        <w:rPr>
          <w:rFonts w:cs="Arial"/>
          <w:spacing w:val="-1"/>
          <w:sz w:val="24"/>
          <w:szCs w:val="24"/>
        </w:rPr>
      </w:pPr>
      <w:r>
        <w:rPr>
          <w:rFonts w:cs="Arial"/>
          <w:spacing w:val="-1"/>
          <w:sz w:val="24"/>
          <w:szCs w:val="24"/>
        </w:rPr>
        <w:t xml:space="preserve">Date policy approved: </w:t>
      </w:r>
      <w:r w:rsidR="009E63A8">
        <w:rPr>
          <w:rFonts w:cs="Arial"/>
          <w:spacing w:val="-1"/>
          <w:sz w:val="24"/>
          <w:szCs w:val="24"/>
        </w:rPr>
        <w:t xml:space="preserve"> </w:t>
      </w:r>
      <w:r w:rsidR="00AA0F6A" w:rsidRPr="00D76743">
        <w:rPr>
          <w:rFonts w:cs="Arial"/>
          <w:spacing w:val="-1"/>
          <w:sz w:val="24"/>
          <w:szCs w:val="24"/>
          <w:highlight w:val="yellow"/>
        </w:rPr>
        <w:t>May 2026</w:t>
      </w:r>
    </w:p>
    <w:p w14:paraId="1BB22EBC" w14:textId="5637A876" w:rsidR="00DD214B" w:rsidRPr="00A25172" w:rsidRDefault="00D45108" w:rsidP="00561AEB">
      <w:pPr>
        <w:spacing w:after="160" w:line="240" w:lineRule="auto"/>
        <w:ind w:right="-20"/>
        <w:rPr>
          <w:rFonts w:ascii="Arial" w:hAnsi="Arial" w:cs="Arial"/>
        </w:rPr>
      </w:pPr>
      <w:r>
        <w:rPr>
          <w:rFonts w:cs="Arial"/>
          <w:spacing w:val="-1"/>
          <w:sz w:val="24"/>
          <w:szCs w:val="24"/>
        </w:rPr>
        <w:t xml:space="preserve">Date of </w:t>
      </w:r>
      <w:r w:rsidR="00561AEB">
        <w:rPr>
          <w:rFonts w:cs="Arial"/>
          <w:spacing w:val="-1"/>
          <w:sz w:val="24"/>
          <w:szCs w:val="24"/>
        </w:rPr>
        <w:t xml:space="preserve">next </w:t>
      </w:r>
      <w:r>
        <w:rPr>
          <w:rFonts w:cs="Arial"/>
          <w:spacing w:val="-1"/>
          <w:sz w:val="24"/>
          <w:szCs w:val="24"/>
        </w:rPr>
        <w:t>review:</w:t>
      </w:r>
      <w:r w:rsidR="00AA0F6A">
        <w:rPr>
          <w:rFonts w:cs="Arial"/>
          <w:spacing w:val="-1"/>
          <w:sz w:val="24"/>
          <w:szCs w:val="24"/>
        </w:rPr>
        <w:t xml:space="preserve"> </w:t>
      </w:r>
      <w:r w:rsidR="00AA0F6A" w:rsidRPr="00D76743">
        <w:rPr>
          <w:rFonts w:cs="Arial"/>
          <w:spacing w:val="-1"/>
          <w:sz w:val="24"/>
          <w:szCs w:val="24"/>
          <w:highlight w:val="yellow"/>
        </w:rPr>
        <w:t xml:space="preserve">May </w:t>
      </w:r>
      <w:r w:rsidR="00561AEB" w:rsidRPr="00D76743">
        <w:rPr>
          <w:rFonts w:cs="Arial"/>
          <w:spacing w:val="-1"/>
          <w:sz w:val="24"/>
          <w:szCs w:val="24"/>
          <w:highlight w:val="yellow"/>
        </w:rPr>
        <w:t>2029</w:t>
      </w:r>
    </w:p>
    <w:sectPr w:rsidR="00DD214B" w:rsidRPr="00A251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rlito">
    <w:altName w:val="Calibri"/>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526FEF"/>
    <w:multiLevelType w:val="hybridMultilevel"/>
    <w:tmpl w:val="E8105D22"/>
    <w:lvl w:ilvl="0" w:tplc="5DC6F6D0">
      <w:start w:val="1"/>
      <w:numFmt w:val="bullet"/>
      <w:lvlText w:val="•"/>
      <w:lvlJc w:val="left"/>
      <w:pPr>
        <w:ind w:left="720" w:hanging="360"/>
      </w:pPr>
    </w:lvl>
    <w:lvl w:ilvl="1" w:tplc="1D943754">
      <w:numFmt w:val="decimal"/>
      <w:lvlText w:val=""/>
      <w:lvlJc w:val="left"/>
    </w:lvl>
    <w:lvl w:ilvl="2" w:tplc="EDD823D4">
      <w:numFmt w:val="decimal"/>
      <w:lvlText w:val=""/>
      <w:lvlJc w:val="left"/>
    </w:lvl>
    <w:lvl w:ilvl="3" w:tplc="DAF6A970">
      <w:numFmt w:val="decimal"/>
      <w:lvlText w:val=""/>
      <w:lvlJc w:val="left"/>
    </w:lvl>
    <w:lvl w:ilvl="4" w:tplc="CC267B2C">
      <w:numFmt w:val="decimal"/>
      <w:lvlText w:val=""/>
      <w:lvlJc w:val="left"/>
    </w:lvl>
    <w:lvl w:ilvl="5" w:tplc="D046A8F2">
      <w:numFmt w:val="decimal"/>
      <w:lvlText w:val=""/>
      <w:lvlJc w:val="left"/>
    </w:lvl>
    <w:lvl w:ilvl="6" w:tplc="B66E4FAE">
      <w:numFmt w:val="decimal"/>
      <w:lvlText w:val=""/>
      <w:lvlJc w:val="left"/>
    </w:lvl>
    <w:lvl w:ilvl="7" w:tplc="25B2876C">
      <w:numFmt w:val="decimal"/>
      <w:lvlText w:val=""/>
      <w:lvlJc w:val="left"/>
    </w:lvl>
    <w:lvl w:ilvl="8" w:tplc="C4FEDE48">
      <w:numFmt w:val="decimal"/>
      <w:lvlText w:val=""/>
      <w:lvlJc w:val="left"/>
    </w:lvl>
  </w:abstractNum>
  <w:abstractNum w:abstractNumId="1" w15:restartNumberingAfterBreak="0">
    <w:nsid w:val="2F0E66CD"/>
    <w:multiLevelType w:val="hybridMultilevel"/>
    <w:tmpl w:val="7374C4FA"/>
    <w:lvl w:ilvl="0" w:tplc="629C788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60BB42EE"/>
    <w:multiLevelType w:val="hybridMultilevel"/>
    <w:tmpl w:val="D9F89E22"/>
    <w:lvl w:ilvl="0" w:tplc="01BE2D2A">
      <w:start w:val="1"/>
      <w:numFmt w:val="decimal"/>
      <w:lvlText w:val="%1."/>
      <w:lvlJc w:val="left"/>
      <w:pPr>
        <w:ind w:left="542" w:hanging="288"/>
      </w:pPr>
      <w:rPr>
        <w:rFonts w:ascii="Arial" w:eastAsia="Arial" w:hAnsi="Arial" w:cs="Arial" w:hint="default"/>
        <w:b/>
        <w:bCs/>
        <w:w w:val="93"/>
        <w:sz w:val="18"/>
        <w:szCs w:val="18"/>
        <w:lang w:val="en-US" w:eastAsia="en-US" w:bidi="ar-SA"/>
      </w:rPr>
    </w:lvl>
    <w:lvl w:ilvl="1" w:tplc="FFFFFFFF">
      <w:numFmt w:val="bullet"/>
      <w:lvlText w:val="•"/>
      <w:lvlJc w:val="left"/>
      <w:pPr>
        <w:ind w:left="992" w:hanging="288"/>
      </w:pPr>
      <w:rPr>
        <w:rFonts w:hint="default"/>
        <w:lang w:val="en-US" w:eastAsia="en-US" w:bidi="ar-SA"/>
      </w:rPr>
    </w:lvl>
    <w:lvl w:ilvl="2" w:tplc="FFFFFFFF">
      <w:numFmt w:val="bullet"/>
      <w:lvlText w:val="•"/>
      <w:lvlJc w:val="left"/>
      <w:pPr>
        <w:ind w:left="1444" w:hanging="288"/>
      </w:pPr>
      <w:rPr>
        <w:rFonts w:hint="default"/>
        <w:lang w:val="en-US" w:eastAsia="en-US" w:bidi="ar-SA"/>
      </w:rPr>
    </w:lvl>
    <w:lvl w:ilvl="3" w:tplc="FFFFFFFF">
      <w:numFmt w:val="bullet"/>
      <w:lvlText w:val="•"/>
      <w:lvlJc w:val="left"/>
      <w:pPr>
        <w:ind w:left="1896" w:hanging="288"/>
      </w:pPr>
      <w:rPr>
        <w:rFonts w:hint="default"/>
        <w:lang w:val="en-US" w:eastAsia="en-US" w:bidi="ar-SA"/>
      </w:rPr>
    </w:lvl>
    <w:lvl w:ilvl="4" w:tplc="FFFFFFFF">
      <w:numFmt w:val="bullet"/>
      <w:lvlText w:val="•"/>
      <w:lvlJc w:val="left"/>
      <w:pPr>
        <w:ind w:left="2348" w:hanging="288"/>
      </w:pPr>
      <w:rPr>
        <w:rFonts w:hint="default"/>
        <w:lang w:val="en-US" w:eastAsia="en-US" w:bidi="ar-SA"/>
      </w:rPr>
    </w:lvl>
    <w:lvl w:ilvl="5" w:tplc="FFFFFFFF">
      <w:numFmt w:val="bullet"/>
      <w:lvlText w:val="•"/>
      <w:lvlJc w:val="left"/>
      <w:pPr>
        <w:ind w:left="2801" w:hanging="288"/>
      </w:pPr>
      <w:rPr>
        <w:rFonts w:hint="default"/>
        <w:lang w:val="en-US" w:eastAsia="en-US" w:bidi="ar-SA"/>
      </w:rPr>
    </w:lvl>
    <w:lvl w:ilvl="6" w:tplc="FFFFFFFF">
      <w:numFmt w:val="bullet"/>
      <w:lvlText w:val="•"/>
      <w:lvlJc w:val="left"/>
      <w:pPr>
        <w:ind w:left="3253" w:hanging="288"/>
      </w:pPr>
      <w:rPr>
        <w:rFonts w:hint="default"/>
        <w:lang w:val="en-US" w:eastAsia="en-US" w:bidi="ar-SA"/>
      </w:rPr>
    </w:lvl>
    <w:lvl w:ilvl="7" w:tplc="FFFFFFFF">
      <w:numFmt w:val="bullet"/>
      <w:lvlText w:val="•"/>
      <w:lvlJc w:val="left"/>
      <w:pPr>
        <w:ind w:left="3705" w:hanging="288"/>
      </w:pPr>
      <w:rPr>
        <w:rFonts w:hint="default"/>
        <w:lang w:val="en-US" w:eastAsia="en-US" w:bidi="ar-SA"/>
      </w:rPr>
    </w:lvl>
    <w:lvl w:ilvl="8" w:tplc="FFFFFFFF">
      <w:numFmt w:val="bullet"/>
      <w:lvlText w:val="•"/>
      <w:lvlJc w:val="left"/>
      <w:pPr>
        <w:ind w:left="4157" w:hanging="288"/>
      </w:pPr>
      <w:rPr>
        <w:rFonts w:hint="default"/>
        <w:lang w:val="en-US" w:eastAsia="en-US" w:bidi="ar-SA"/>
      </w:rPr>
    </w:lvl>
  </w:abstractNum>
  <w:num w:numId="1" w16cid:durableId="1277251512">
    <w:abstractNumId w:val="0"/>
    <w:lvlOverride w:ilvl="0">
      <w:startOverride w:val="1"/>
    </w:lvlOverride>
  </w:num>
  <w:num w:numId="2" w16cid:durableId="476269156">
    <w:abstractNumId w:val="1"/>
  </w:num>
  <w:num w:numId="3" w16cid:durableId="1919710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832"/>
    <w:rsid w:val="000577B3"/>
    <w:rsid w:val="00062190"/>
    <w:rsid w:val="00076E22"/>
    <w:rsid w:val="00083697"/>
    <w:rsid w:val="000C3672"/>
    <w:rsid w:val="000C79C0"/>
    <w:rsid w:val="000D1E58"/>
    <w:rsid w:val="000E7201"/>
    <w:rsid w:val="000E7F3A"/>
    <w:rsid w:val="000F11E9"/>
    <w:rsid w:val="00103CA2"/>
    <w:rsid w:val="001052E2"/>
    <w:rsid w:val="001277E2"/>
    <w:rsid w:val="00141450"/>
    <w:rsid w:val="0015331D"/>
    <w:rsid w:val="001648C8"/>
    <w:rsid w:val="00167028"/>
    <w:rsid w:val="00167AB4"/>
    <w:rsid w:val="00171207"/>
    <w:rsid w:val="001912C1"/>
    <w:rsid w:val="001A5C07"/>
    <w:rsid w:val="001B115E"/>
    <w:rsid w:val="001B27B7"/>
    <w:rsid w:val="001D4C46"/>
    <w:rsid w:val="00216268"/>
    <w:rsid w:val="002331F6"/>
    <w:rsid w:val="00264F77"/>
    <w:rsid w:val="0027007C"/>
    <w:rsid w:val="00292A10"/>
    <w:rsid w:val="002B7B16"/>
    <w:rsid w:val="002D020A"/>
    <w:rsid w:val="00301095"/>
    <w:rsid w:val="00316997"/>
    <w:rsid w:val="00337162"/>
    <w:rsid w:val="00342812"/>
    <w:rsid w:val="003525A4"/>
    <w:rsid w:val="00365060"/>
    <w:rsid w:val="003848F5"/>
    <w:rsid w:val="003879A9"/>
    <w:rsid w:val="00431764"/>
    <w:rsid w:val="004554D1"/>
    <w:rsid w:val="00475725"/>
    <w:rsid w:val="00495FF8"/>
    <w:rsid w:val="004A27A9"/>
    <w:rsid w:val="004A52EC"/>
    <w:rsid w:val="004B4207"/>
    <w:rsid w:val="004E4997"/>
    <w:rsid w:val="00501B07"/>
    <w:rsid w:val="00511821"/>
    <w:rsid w:val="00561AEB"/>
    <w:rsid w:val="00577BB3"/>
    <w:rsid w:val="00581605"/>
    <w:rsid w:val="005D74D2"/>
    <w:rsid w:val="005E73C4"/>
    <w:rsid w:val="00613ADE"/>
    <w:rsid w:val="00635A7F"/>
    <w:rsid w:val="00664500"/>
    <w:rsid w:val="00675D21"/>
    <w:rsid w:val="006C2D14"/>
    <w:rsid w:val="006C2EA2"/>
    <w:rsid w:val="006E5C41"/>
    <w:rsid w:val="007009D0"/>
    <w:rsid w:val="007163AE"/>
    <w:rsid w:val="007274F4"/>
    <w:rsid w:val="007558CA"/>
    <w:rsid w:val="00761476"/>
    <w:rsid w:val="007F3AEB"/>
    <w:rsid w:val="008200F9"/>
    <w:rsid w:val="0082644C"/>
    <w:rsid w:val="00827DD1"/>
    <w:rsid w:val="0084223A"/>
    <w:rsid w:val="0084482F"/>
    <w:rsid w:val="0085430A"/>
    <w:rsid w:val="00872381"/>
    <w:rsid w:val="00890111"/>
    <w:rsid w:val="00937AC6"/>
    <w:rsid w:val="00953D2B"/>
    <w:rsid w:val="00982112"/>
    <w:rsid w:val="009E63A8"/>
    <w:rsid w:val="00A062EE"/>
    <w:rsid w:val="00A07967"/>
    <w:rsid w:val="00A25172"/>
    <w:rsid w:val="00A40BBB"/>
    <w:rsid w:val="00A76CBB"/>
    <w:rsid w:val="00AA0F6A"/>
    <w:rsid w:val="00AD2B4A"/>
    <w:rsid w:val="00AE2BF8"/>
    <w:rsid w:val="00AE349D"/>
    <w:rsid w:val="00AE54D2"/>
    <w:rsid w:val="00B12A4C"/>
    <w:rsid w:val="00B27886"/>
    <w:rsid w:val="00B3186D"/>
    <w:rsid w:val="00B52421"/>
    <w:rsid w:val="00B72832"/>
    <w:rsid w:val="00C07696"/>
    <w:rsid w:val="00C14E74"/>
    <w:rsid w:val="00C17E54"/>
    <w:rsid w:val="00C27544"/>
    <w:rsid w:val="00C31B9A"/>
    <w:rsid w:val="00C63BD2"/>
    <w:rsid w:val="00C642A0"/>
    <w:rsid w:val="00C76261"/>
    <w:rsid w:val="00C7643C"/>
    <w:rsid w:val="00C85C78"/>
    <w:rsid w:val="00CE0558"/>
    <w:rsid w:val="00CE4C7F"/>
    <w:rsid w:val="00D12B41"/>
    <w:rsid w:val="00D12FE6"/>
    <w:rsid w:val="00D3791A"/>
    <w:rsid w:val="00D45108"/>
    <w:rsid w:val="00D76743"/>
    <w:rsid w:val="00D830A0"/>
    <w:rsid w:val="00D9552D"/>
    <w:rsid w:val="00DA0D02"/>
    <w:rsid w:val="00DD214B"/>
    <w:rsid w:val="00DF30B3"/>
    <w:rsid w:val="00E029C1"/>
    <w:rsid w:val="00E05F9D"/>
    <w:rsid w:val="00E07C4C"/>
    <w:rsid w:val="00E30E17"/>
    <w:rsid w:val="00E31CBF"/>
    <w:rsid w:val="00E33227"/>
    <w:rsid w:val="00E41CBB"/>
    <w:rsid w:val="00E44196"/>
    <w:rsid w:val="00E57342"/>
    <w:rsid w:val="00E62527"/>
    <w:rsid w:val="00E6777E"/>
    <w:rsid w:val="00E91FC4"/>
    <w:rsid w:val="00EB33F2"/>
    <w:rsid w:val="00EC6CC6"/>
    <w:rsid w:val="00ED72C3"/>
    <w:rsid w:val="00EF105B"/>
    <w:rsid w:val="00F20C34"/>
    <w:rsid w:val="00F5466D"/>
    <w:rsid w:val="00F71B78"/>
    <w:rsid w:val="00FA4497"/>
    <w:rsid w:val="00FA5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5596B"/>
  <w15:chartTrackingRefBased/>
  <w15:docId w15:val="{2750ABD6-E2C1-43EB-84C0-407A827C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172"/>
    <w:pPr>
      <w:spacing w:after="200" w:line="276" w:lineRule="auto"/>
    </w:pPr>
    <w:rPr>
      <w:kern w:val="0"/>
      <w14:ligatures w14:val="none"/>
    </w:rPr>
  </w:style>
  <w:style w:type="paragraph" w:styleId="Heading1">
    <w:name w:val="heading 1"/>
    <w:basedOn w:val="Normal"/>
    <w:next w:val="Normal"/>
    <w:link w:val="Heading1Char"/>
    <w:uiPriority w:val="9"/>
    <w:qFormat/>
    <w:rsid w:val="00B72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8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8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8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8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8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8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8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8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8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8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8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8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8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8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8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832"/>
    <w:rPr>
      <w:rFonts w:eastAsiaTheme="majorEastAsia" w:cstheme="majorBidi"/>
      <w:color w:val="272727" w:themeColor="text1" w:themeTint="D8"/>
    </w:rPr>
  </w:style>
  <w:style w:type="paragraph" w:styleId="Title">
    <w:name w:val="Title"/>
    <w:basedOn w:val="Normal"/>
    <w:next w:val="Normal"/>
    <w:link w:val="TitleChar"/>
    <w:uiPriority w:val="10"/>
    <w:qFormat/>
    <w:rsid w:val="00B72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8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8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8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832"/>
    <w:pPr>
      <w:spacing w:before="160"/>
      <w:jc w:val="center"/>
    </w:pPr>
    <w:rPr>
      <w:i/>
      <w:iCs/>
      <w:color w:val="404040" w:themeColor="text1" w:themeTint="BF"/>
    </w:rPr>
  </w:style>
  <w:style w:type="character" w:customStyle="1" w:styleId="QuoteChar">
    <w:name w:val="Quote Char"/>
    <w:basedOn w:val="DefaultParagraphFont"/>
    <w:link w:val="Quote"/>
    <w:uiPriority w:val="29"/>
    <w:rsid w:val="00B72832"/>
    <w:rPr>
      <w:i/>
      <w:iCs/>
      <w:color w:val="404040" w:themeColor="text1" w:themeTint="BF"/>
    </w:rPr>
  </w:style>
  <w:style w:type="paragraph" w:styleId="ListParagraph">
    <w:name w:val="List Paragraph"/>
    <w:basedOn w:val="Normal"/>
    <w:qFormat/>
    <w:rsid w:val="00B72832"/>
    <w:pPr>
      <w:ind w:left="720"/>
      <w:contextualSpacing/>
    </w:pPr>
  </w:style>
  <w:style w:type="character" w:styleId="IntenseEmphasis">
    <w:name w:val="Intense Emphasis"/>
    <w:basedOn w:val="DefaultParagraphFont"/>
    <w:uiPriority w:val="21"/>
    <w:qFormat/>
    <w:rsid w:val="00B72832"/>
    <w:rPr>
      <w:i/>
      <w:iCs/>
      <w:color w:val="0F4761" w:themeColor="accent1" w:themeShade="BF"/>
    </w:rPr>
  </w:style>
  <w:style w:type="paragraph" w:styleId="IntenseQuote">
    <w:name w:val="Intense Quote"/>
    <w:basedOn w:val="Normal"/>
    <w:next w:val="Normal"/>
    <w:link w:val="IntenseQuoteChar"/>
    <w:uiPriority w:val="30"/>
    <w:qFormat/>
    <w:rsid w:val="00B72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832"/>
    <w:rPr>
      <w:i/>
      <w:iCs/>
      <w:color w:val="0F4761" w:themeColor="accent1" w:themeShade="BF"/>
    </w:rPr>
  </w:style>
  <w:style w:type="character" w:styleId="IntenseReference">
    <w:name w:val="Intense Reference"/>
    <w:basedOn w:val="DefaultParagraphFont"/>
    <w:uiPriority w:val="32"/>
    <w:qFormat/>
    <w:rsid w:val="00B72832"/>
    <w:rPr>
      <w:b/>
      <w:bCs/>
      <w:smallCaps/>
      <w:color w:val="0F4761" w:themeColor="accent1" w:themeShade="BF"/>
      <w:spacing w:val="5"/>
    </w:rPr>
  </w:style>
  <w:style w:type="paragraph" w:customStyle="1" w:styleId="TableParagraph">
    <w:name w:val="Table Paragraph"/>
    <w:basedOn w:val="Normal"/>
    <w:uiPriority w:val="1"/>
    <w:qFormat/>
    <w:rsid w:val="00062190"/>
    <w:pPr>
      <w:widowControl w:val="0"/>
      <w:autoSpaceDE w:val="0"/>
      <w:autoSpaceDN w:val="0"/>
      <w:spacing w:after="0" w:line="240" w:lineRule="auto"/>
    </w:pPr>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692</Words>
  <Characters>3948</Characters>
  <Application>Microsoft Office Word</Application>
  <DocSecurity>0</DocSecurity>
  <Lines>32</Lines>
  <Paragraphs>9</Paragraphs>
  <ScaleCrop>false</ScaleCrop>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Walsh</dc:creator>
  <cp:keywords/>
  <dc:description/>
  <cp:lastModifiedBy>Rita Walsh</cp:lastModifiedBy>
  <cp:revision>136</cp:revision>
  <dcterms:created xsi:type="dcterms:W3CDTF">2026-04-23T13:14:00Z</dcterms:created>
  <dcterms:modified xsi:type="dcterms:W3CDTF">2026-05-07T17:37:00Z</dcterms:modified>
</cp:coreProperties>
</file>